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6D7" w:rsidRPr="00B83C8C" w:rsidRDefault="007326D7" w:rsidP="007326D7">
      <w:pPr>
        <w:rPr>
          <w:rFonts w:ascii="Times New Roman" w:hAnsi="Times New Roman"/>
          <w:b/>
          <w:sz w:val="24"/>
          <w:szCs w:val="24"/>
        </w:rPr>
      </w:pPr>
      <w:bookmarkStart w:id="0" w:name="_GoBack"/>
      <w:bookmarkEnd w:id="0"/>
      <w:r w:rsidRPr="00B83C8C">
        <w:rPr>
          <w:rFonts w:ascii="Times New Roman" w:hAnsi="Times New Roman"/>
          <w:b/>
          <w:sz w:val="24"/>
          <w:szCs w:val="24"/>
        </w:rPr>
        <w:t>DEMANDE D’EVALUATION</w:t>
      </w:r>
      <w:r>
        <w:rPr>
          <w:rFonts w:ascii="Times New Roman" w:hAnsi="Times New Roman"/>
          <w:b/>
          <w:sz w:val="24"/>
          <w:szCs w:val="24"/>
        </w:rPr>
        <w:t xml:space="preserve"> DE LA REDD+ ET DE LA VALORISATIONS DES ECOSYSTEMES TRANSFRONTALIERS AU BENIN, TOGO ET BURKINA FASO</w:t>
      </w:r>
    </w:p>
    <w:p w:rsidR="007326D7" w:rsidRPr="00B83C8C" w:rsidRDefault="007326D7" w:rsidP="007326D7">
      <w:pPr>
        <w:pStyle w:val="ListParagraph"/>
        <w:numPr>
          <w:ilvl w:val="0"/>
          <w:numId w:val="1"/>
        </w:numPr>
        <w:jc w:val="both"/>
        <w:rPr>
          <w:rFonts w:ascii="Times New Roman" w:hAnsi="Times New Roman"/>
          <w:sz w:val="24"/>
          <w:szCs w:val="24"/>
        </w:rPr>
      </w:pPr>
      <w:r w:rsidRPr="00B83C8C">
        <w:rPr>
          <w:rFonts w:ascii="Times New Roman" w:hAnsi="Times New Roman"/>
          <w:b/>
          <w:sz w:val="24"/>
          <w:szCs w:val="24"/>
        </w:rPr>
        <w:t>Pays sollicitant l’évaluation pour lui-même d’une région : BENIN</w:t>
      </w:r>
    </w:p>
    <w:p w:rsidR="007326D7" w:rsidRPr="00B83C8C" w:rsidRDefault="007326D7" w:rsidP="007326D7">
      <w:pPr>
        <w:pStyle w:val="ListParagraph"/>
        <w:numPr>
          <w:ilvl w:val="0"/>
          <w:numId w:val="1"/>
        </w:numPr>
        <w:jc w:val="both"/>
        <w:rPr>
          <w:rFonts w:ascii="Times New Roman" w:hAnsi="Times New Roman"/>
          <w:b/>
          <w:sz w:val="24"/>
          <w:szCs w:val="24"/>
        </w:rPr>
      </w:pPr>
      <w:r w:rsidRPr="00B83C8C">
        <w:rPr>
          <w:rFonts w:ascii="Times New Roman" w:hAnsi="Times New Roman"/>
          <w:b/>
          <w:sz w:val="24"/>
          <w:szCs w:val="24"/>
        </w:rPr>
        <w:t xml:space="preserve">Nom du point focal du Programme ONU-REDD œuvrant pour le pays ou la région: </w:t>
      </w:r>
    </w:p>
    <w:p w:rsidR="007326D7" w:rsidRDefault="007326D7" w:rsidP="007326D7">
      <w:pPr>
        <w:pStyle w:val="ListParagraph"/>
        <w:jc w:val="both"/>
        <w:rPr>
          <w:rFonts w:ascii="Times New Roman" w:hAnsi="Times New Roman"/>
          <w:sz w:val="24"/>
          <w:szCs w:val="24"/>
        </w:rPr>
      </w:pPr>
      <w:r w:rsidRPr="00B83C8C">
        <w:rPr>
          <w:rFonts w:ascii="Times New Roman" w:hAnsi="Times New Roman"/>
          <w:sz w:val="24"/>
          <w:szCs w:val="24"/>
        </w:rPr>
        <w:t>Dr AKOUEHOU S. Gaston</w:t>
      </w:r>
    </w:p>
    <w:p w:rsidR="0094152B" w:rsidRPr="0094152B" w:rsidRDefault="0094152B" w:rsidP="007326D7">
      <w:pPr>
        <w:pStyle w:val="ListParagraph"/>
        <w:jc w:val="both"/>
        <w:rPr>
          <w:rFonts w:ascii="Times New Roman" w:hAnsi="Times New Roman"/>
          <w:sz w:val="24"/>
          <w:szCs w:val="24"/>
          <w:lang w:val="en-US"/>
        </w:rPr>
      </w:pPr>
      <w:r w:rsidRPr="0094152B">
        <w:rPr>
          <w:rFonts w:ascii="Times New Roman" w:hAnsi="Times New Roman"/>
          <w:sz w:val="24"/>
          <w:szCs w:val="24"/>
          <w:lang w:val="en-US"/>
        </w:rPr>
        <w:t>02 BP 1420 Gbégamey Cotonou BENIN. Tél : 00229 97367678/95563534.</w:t>
      </w:r>
    </w:p>
    <w:p w:rsidR="0094152B" w:rsidRPr="0094152B" w:rsidRDefault="0094152B" w:rsidP="007326D7">
      <w:pPr>
        <w:pStyle w:val="ListParagraph"/>
        <w:jc w:val="both"/>
        <w:rPr>
          <w:rFonts w:ascii="Times New Roman" w:hAnsi="Times New Roman"/>
          <w:sz w:val="24"/>
          <w:szCs w:val="24"/>
          <w:lang w:val="en-US"/>
        </w:rPr>
      </w:pPr>
      <w:r>
        <w:rPr>
          <w:rFonts w:ascii="Times New Roman" w:hAnsi="Times New Roman"/>
          <w:sz w:val="24"/>
          <w:szCs w:val="24"/>
          <w:lang w:val="en-US"/>
        </w:rPr>
        <w:t>Email: gastonakouehou@gmail.com</w:t>
      </w:r>
    </w:p>
    <w:p w:rsidR="007326D7" w:rsidRPr="00B83C8C" w:rsidRDefault="007326D7" w:rsidP="007326D7">
      <w:pPr>
        <w:pStyle w:val="ListParagraph"/>
        <w:numPr>
          <w:ilvl w:val="0"/>
          <w:numId w:val="1"/>
        </w:numPr>
        <w:jc w:val="both"/>
        <w:rPr>
          <w:rFonts w:ascii="Times New Roman" w:hAnsi="Times New Roman"/>
          <w:sz w:val="24"/>
          <w:szCs w:val="24"/>
        </w:rPr>
      </w:pPr>
      <w:r w:rsidRPr="00B83C8C">
        <w:rPr>
          <w:rFonts w:ascii="Times New Roman" w:hAnsi="Times New Roman"/>
          <w:b/>
          <w:sz w:val="24"/>
          <w:szCs w:val="24"/>
        </w:rPr>
        <w:t>Nom</w:t>
      </w:r>
      <w:r w:rsidRPr="00B83C8C">
        <w:rPr>
          <w:rFonts w:ascii="Times New Roman" w:hAnsi="Times New Roman"/>
          <w:sz w:val="24"/>
          <w:szCs w:val="24"/>
        </w:rPr>
        <w:t xml:space="preserve"> </w:t>
      </w:r>
      <w:r w:rsidRPr="00B83C8C">
        <w:rPr>
          <w:rFonts w:ascii="Times New Roman" w:hAnsi="Times New Roman"/>
          <w:b/>
          <w:sz w:val="24"/>
          <w:szCs w:val="24"/>
        </w:rPr>
        <w:t>du point focal technique du pays / de la région chargée de la CNA :</w:t>
      </w:r>
      <w:r w:rsidRPr="00B83C8C">
        <w:rPr>
          <w:rFonts w:ascii="Times New Roman" w:hAnsi="Times New Roman"/>
          <w:sz w:val="24"/>
          <w:szCs w:val="24"/>
        </w:rPr>
        <w:t xml:space="preserve"> </w:t>
      </w:r>
    </w:p>
    <w:p w:rsidR="007326D7" w:rsidRPr="00B83C8C" w:rsidRDefault="007326D7" w:rsidP="007326D7">
      <w:pPr>
        <w:pStyle w:val="ListParagraph"/>
        <w:jc w:val="both"/>
        <w:rPr>
          <w:rFonts w:ascii="Times New Roman" w:hAnsi="Times New Roman"/>
          <w:sz w:val="24"/>
          <w:szCs w:val="24"/>
        </w:rPr>
      </w:pPr>
      <w:r w:rsidRPr="00B83C8C">
        <w:rPr>
          <w:rFonts w:ascii="Times New Roman" w:hAnsi="Times New Roman"/>
          <w:sz w:val="24"/>
          <w:szCs w:val="24"/>
        </w:rPr>
        <w:t>AHONONGA Fiacre</w:t>
      </w:r>
    </w:p>
    <w:p w:rsidR="007326D7" w:rsidRPr="00B83C8C" w:rsidRDefault="007326D7" w:rsidP="007326D7">
      <w:pPr>
        <w:pStyle w:val="ListParagraph"/>
        <w:numPr>
          <w:ilvl w:val="0"/>
          <w:numId w:val="1"/>
        </w:numPr>
        <w:jc w:val="both"/>
        <w:rPr>
          <w:rFonts w:ascii="Times New Roman" w:hAnsi="Times New Roman"/>
          <w:sz w:val="24"/>
          <w:szCs w:val="24"/>
        </w:rPr>
      </w:pPr>
      <w:r w:rsidRPr="00B83C8C">
        <w:rPr>
          <w:rFonts w:ascii="Times New Roman" w:hAnsi="Times New Roman"/>
          <w:b/>
          <w:sz w:val="24"/>
          <w:szCs w:val="24"/>
        </w:rPr>
        <w:t xml:space="preserve">Organisme /organismes participants des Nations Unies de coordination (FAO/PNUD/PNUE) : </w:t>
      </w:r>
      <w:r w:rsidRPr="00B83C8C">
        <w:rPr>
          <w:rFonts w:ascii="Times New Roman" w:hAnsi="Times New Roman"/>
          <w:sz w:val="24"/>
          <w:szCs w:val="24"/>
        </w:rPr>
        <w:t>FAO</w:t>
      </w:r>
    </w:p>
    <w:p w:rsidR="007326D7" w:rsidRPr="00B83C8C" w:rsidRDefault="007326D7" w:rsidP="007326D7">
      <w:pPr>
        <w:pStyle w:val="ListParagraph"/>
        <w:numPr>
          <w:ilvl w:val="0"/>
          <w:numId w:val="1"/>
        </w:numPr>
        <w:jc w:val="both"/>
        <w:rPr>
          <w:rFonts w:ascii="Times New Roman" w:hAnsi="Times New Roman"/>
          <w:b/>
          <w:sz w:val="24"/>
          <w:szCs w:val="24"/>
        </w:rPr>
      </w:pPr>
      <w:r w:rsidRPr="00B83C8C">
        <w:rPr>
          <w:rFonts w:ascii="Times New Roman" w:hAnsi="Times New Roman"/>
          <w:b/>
          <w:sz w:val="24"/>
          <w:szCs w:val="24"/>
        </w:rPr>
        <w:t>Objectifs de la stratégie ou des efforts déployés en faveur de la préparation à la REDD+ :</w:t>
      </w:r>
    </w:p>
    <w:p w:rsidR="007326D7" w:rsidRPr="00B83C8C" w:rsidRDefault="007326D7" w:rsidP="007326D7">
      <w:pPr>
        <w:autoSpaceDE w:val="0"/>
        <w:autoSpaceDN w:val="0"/>
        <w:adjustRightInd w:val="0"/>
        <w:spacing w:after="0" w:line="240" w:lineRule="auto"/>
        <w:jc w:val="both"/>
        <w:rPr>
          <w:rFonts w:ascii="Times New Roman" w:hAnsi="Times New Roman"/>
          <w:bCs/>
          <w:sz w:val="24"/>
          <w:szCs w:val="24"/>
        </w:rPr>
      </w:pPr>
      <w:r w:rsidRPr="00B83C8C">
        <w:rPr>
          <w:rFonts w:ascii="Times New Roman" w:hAnsi="Times New Roman"/>
          <w:bCs/>
          <w:sz w:val="24"/>
          <w:szCs w:val="24"/>
        </w:rPr>
        <w:t>La République du Bénin est un pays côtier, francophone, situé en Afrique de l’Ouest, avec une superficie de 114.763 km². Elle compte douze (12) départements divisés en soixante dix sept (77) Communes. Ces Communes sont subdivisées en 569 arrondissements composés des villages et de quartiers de villes. La population du Bénin est passée de 4.915.555 habitants en 1992 à 6.769.914 habitants en 2002 et 10 000 000 en 2014 avec une densité moyenne de 97 h</w:t>
      </w:r>
      <w:r>
        <w:rPr>
          <w:rFonts w:ascii="Times New Roman" w:hAnsi="Times New Roman"/>
          <w:bCs/>
          <w:sz w:val="24"/>
          <w:szCs w:val="24"/>
        </w:rPr>
        <w:t>a</w:t>
      </w:r>
      <w:r w:rsidRPr="00B83C8C">
        <w:rPr>
          <w:rFonts w:ascii="Times New Roman" w:hAnsi="Times New Roman"/>
          <w:bCs/>
          <w:sz w:val="24"/>
          <w:szCs w:val="24"/>
        </w:rPr>
        <w:t>b</w:t>
      </w:r>
      <w:r>
        <w:rPr>
          <w:rFonts w:ascii="Times New Roman" w:hAnsi="Times New Roman"/>
          <w:bCs/>
          <w:sz w:val="24"/>
          <w:szCs w:val="24"/>
        </w:rPr>
        <w:t>itan</w:t>
      </w:r>
      <w:r w:rsidRPr="00B83C8C">
        <w:rPr>
          <w:rFonts w:ascii="Times New Roman" w:hAnsi="Times New Roman"/>
          <w:bCs/>
          <w:sz w:val="24"/>
          <w:szCs w:val="24"/>
        </w:rPr>
        <w:t>t</w:t>
      </w:r>
      <w:r>
        <w:rPr>
          <w:rFonts w:ascii="Times New Roman" w:hAnsi="Times New Roman"/>
          <w:bCs/>
          <w:sz w:val="24"/>
          <w:szCs w:val="24"/>
        </w:rPr>
        <w:t>s</w:t>
      </w:r>
      <w:r w:rsidRPr="00B83C8C">
        <w:rPr>
          <w:rFonts w:ascii="Times New Roman" w:hAnsi="Times New Roman"/>
          <w:bCs/>
          <w:sz w:val="24"/>
          <w:szCs w:val="24"/>
        </w:rPr>
        <w:t>/km².</w:t>
      </w:r>
    </w:p>
    <w:p w:rsidR="007326D7" w:rsidRPr="00B83C8C" w:rsidRDefault="007326D7" w:rsidP="007326D7">
      <w:pPr>
        <w:pStyle w:val="Default"/>
        <w:spacing w:before="3"/>
        <w:jc w:val="both"/>
        <w:rPr>
          <w:rFonts w:ascii="Times New Roman" w:hAnsi="Times New Roman" w:cs="Times New Roman"/>
        </w:rPr>
      </w:pPr>
      <w:r w:rsidRPr="00B83C8C">
        <w:rPr>
          <w:rFonts w:ascii="Times New Roman" w:hAnsi="Times New Roman" w:cs="Times New Roman"/>
        </w:rPr>
        <w:t>Depuis que le Bénin a signé et ratifié la CDB et d’autres accords ou conventions relatifs à la biodiversité, plusieurs réformes ont été entreprises pour garantir la biodiversité telles que : la loi 93-009 du 02 juillet 1993 portant Régime des forêts en République du Bénin : Approche participative et décentralisée, gestion intégrée et durable; partage des avantages; accompagnement socio-économique. On note également la Loi cadre sur l’environnement : Prise en compte de l’environnement dans les politiques, programmes et projets est devenue un impératif (Verdissement des SCRP, Evaluation Environnementale Stratégique (EES). De plus, des outils de multiples bénéficies au niveau national, comme la cartographie de la biodiversité ont été développés dans le cadre des inventaires nationaux. Dans le but du renforcement de la gouvernance forestière, le respect des droits des populations autochtones et des communautés locales, la non-conversion des forêts naturelles, la protection de la biodiversité et la participation de tous les acteurs concernés, le Bénin n’ayant pas encore bénéficié de l’appui fourni par UN-REDD, cet appui serait donc utile pour la participation à UN-REDD+.</w:t>
      </w:r>
    </w:p>
    <w:p w:rsidR="007326D7" w:rsidRPr="00B83C8C" w:rsidRDefault="007326D7" w:rsidP="007326D7">
      <w:pPr>
        <w:jc w:val="both"/>
        <w:rPr>
          <w:rFonts w:ascii="Times New Roman" w:hAnsi="Times New Roman"/>
          <w:sz w:val="24"/>
          <w:szCs w:val="24"/>
        </w:rPr>
      </w:pPr>
      <w:r w:rsidRPr="00B83C8C">
        <w:rPr>
          <w:rFonts w:ascii="Times New Roman" w:hAnsi="Times New Roman"/>
          <w:sz w:val="24"/>
          <w:szCs w:val="24"/>
        </w:rPr>
        <w:t>De façon globale, il s’agira d’identifier les besoins du BENIN, du TOGO et du BURKINA FASO et les opportunités de prendre part à la REDD+ et en évaluer les diverses étapes de préparation en vue de schématiser l’appui en fonction des circonstances.</w:t>
      </w:r>
    </w:p>
    <w:p w:rsidR="007326D7" w:rsidRPr="00B83C8C" w:rsidRDefault="007326D7" w:rsidP="007326D7">
      <w:pPr>
        <w:pStyle w:val="ListParagraph"/>
        <w:jc w:val="both"/>
        <w:rPr>
          <w:rFonts w:ascii="Times New Roman" w:hAnsi="Times New Roman"/>
          <w:sz w:val="24"/>
          <w:szCs w:val="24"/>
        </w:rPr>
      </w:pPr>
    </w:p>
    <w:p w:rsidR="007326D7" w:rsidRPr="00B83C8C" w:rsidRDefault="007326D7" w:rsidP="007326D7">
      <w:pPr>
        <w:pStyle w:val="ListParagraph"/>
        <w:numPr>
          <w:ilvl w:val="0"/>
          <w:numId w:val="1"/>
        </w:numPr>
        <w:jc w:val="both"/>
        <w:rPr>
          <w:rFonts w:ascii="Times New Roman" w:hAnsi="Times New Roman"/>
          <w:sz w:val="24"/>
          <w:szCs w:val="24"/>
        </w:rPr>
      </w:pPr>
      <w:r w:rsidRPr="00B83C8C">
        <w:rPr>
          <w:rFonts w:ascii="Times New Roman" w:hAnsi="Times New Roman"/>
          <w:b/>
          <w:sz w:val="24"/>
          <w:szCs w:val="24"/>
        </w:rPr>
        <w:t>Vision de la région par rapport à la REDD+</w:t>
      </w:r>
    </w:p>
    <w:p w:rsidR="007326D7" w:rsidRPr="00B83C8C" w:rsidRDefault="007326D7" w:rsidP="007326D7">
      <w:pPr>
        <w:jc w:val="both"/>
        <w:rPr>
          <w:rFonts w:ascii="Times New Roman" w:hAnsi="Times New Roman"/>
          <w:sz w:val="24"/>
          <w:szCs w:val="24"/>
        </w:rPr>
      </w:pPr>
      <w:r w:rsidRPr="00B83C8C">
        <w:rPr>
          <w:rFonts w:ascii="Times New Roman" w:hAnsi="Times New Roman"/>
          <w:sz w:val="24"/>
          <w:szCs w:val="24"/>
        </w:rPr>
        <w:t>Assurer une gestion efficace et efficiente de la REDD+ en conformité avec ses objectifs d’Aichi au Bénin, Togo et au Burkina Faso</w:t>
      </w:r>
    </w:p>
    <w:p w:rsidR="007326D7" w:rsidRPr="00B83C8C" w:rsidRDefault="007326D7" w:rsidP="007326D7">
      <w:pPr>
        <w:pStyle w:val="ListParagraph"/>
        <w:numPr>
          <w:ilvl w:val="0"/>
          <w:numId w:val="1"/>
        </w:numPr>
        <w:jc w:val="both"/>
        <w:rPr>
          <w:rFonts w:ascii="Times New Roman" w:hAnsi="Times New Roman"/>
          <w:b/>
          <w:sz w:val="24"/>
          <w:szCs w:val="24"/>
        </w:rPr>
      </w:pPr>
      <w:r w:rsidRPr="00B83C8C">
        <w:rPr>
          <w:rFonts w:ascii="Times New Roman" w:hAnsi="Times New Roman"/>
          <w:b/>
          <w:sz w:val="24"/>
          <w:szCs w:val="24"/>
        </w:rPr>
        <w:t xml:space="preserve">Aperçu général du processus de préparation du pays / de la région. </w:t>
      </w:r>
    </w:p>
    <w:p w:rsidR="007326D7" w:rsidRPr="00B83C8C" w:rsidRDefault="007326D7" w:rsidP="007326D7">
      <w:pPr>
        <w:ind w:left="360"/>
        <w:jc w:val="both"/>
        <w:rPr>
          <w:rFonts w:ascii="Times New Roman" w:hAnsi="Times New Roman"/>
          <w:b/>
          <w:sz w:val="24"/>
          <w:szCs w:val="24"/>
        </w:rPr>
      </w:pPr>
      <w:r w:rsidRPr="00B83C8C">
        <w:rPr>
          <w:rFonts w:ascii="Times New Roman" w:hAnsi="Times New Roman"/>
          <w:b/>
          <w:sz w:val="24"/>
          <w:szCs w:val="24"/>
        </w:rPr>
        <w:t>Objectifs de l’évaluation des besoins</w:t>
      </w:r>
    </w:p>
    <w:p w:rsidR="007326D7" w:rsidRPr="00B83C8C" w:rsidRDefault="007326D7" w:rsidP="007326D7">
      <w:pPr>
        <w:ind w:left="360"/>
        <w:jc w:val="both"/>
        <w:rPr>
          <w:rFonts w:ascii="Times New Roman" w:hAnsi="Times New Roman"/>
          <w:sz w:val="24"/>
          <w:szCs w:val="24"/>
        </w:rPr>
      </w:pPr>
      <w:r w:rsidRPr="00B83C8C">
        <w:rPr>
          <w:rFonts w:ascii="Times New Roman" w:hAnsi="Times New Roman"/>
          <w:sz w:val="24"/>
          <w:szCs w:val="24"/>
        </w:rPr>
        <w:lastRenderedPageBreak/>
        <w:t xml:space="preserve">Evaluer les besoins de REDD+ pour la région comportant le Bénin, le Togo et le Burkina </w:t>
      </w:r>
      <w:r>
        <w:rPr>
          <w:rFonts w:ascii="Times New Roman" w:hAnsi="Times New Roman"/>
          <w:sz w:val="24"/>
          <w:szCs w:val="24"/>
        </w:rPr>
        <w:t>Faso.</w:t>
      </w:r>
    </w:p>
    <w:p w:rsidR="007326D7" w:rsidRPr="00B83C8C" w:rsidRDefault="007326D7" w:rsidP="007326D7">
      <w:pPr>
        <w:pStyle w:val="ListParagraph"/>
        <w:jc w:val="both"/>
        <w:rPr>
          <w:rFonts w:ascii="Times New Roman" w:hAnsi="Times New Roman"/>
          <w:sz w:val="24"/>
          <w:szCs w:val="24"/>
        </w:rPr>
      </w:pPr>
      <w:r w:rsidRPr="00B83C8C">
        <w:rPr>
          <w:rFonts w:ascii="Times New Roman" w:hAnsi="Times New Roman"/>
          <w:sz w:val="24"/>
          <w:szCs w:val="24"/>
        </w:rPr>
        <w:t>De façon spécifique, il sera question de :</w:t>
      </w:r>
    </w:p>
    <w:p w:rsidR="007326D7" w:rsidRPr="00B83C8C" w:rsidRDefault="007326D7" w:rsidP="007326D7">
      <w:pPr>
        <w:ind w:firstLine="708"/>
        <w:jc w:val="both"/>
        <w:rPr>
          <w:rFonts w:ascii="Times New Roman" w:hAnsi="Times New Roman"/>
          <w:sz w:val="24"/>
          <w:szCs w:val="24"/>
        </w:rPr>
      </w:pPr>
      <w:r w:rsidRPr="00B83C8C">
        <w:rPr>
          <w:rFonts w:ascii="Times New Roman" w:hAnsi="Times New Roman"/>
          <w:b/>
          <w:sz w:val="24"/>
          <w:szCs w:val="24"/>
        </w:rPr>
        <w:t>OS1 </w:t>
      </w:r>
      <w:r w:rsidRPr="00B83C8C">
        <w:rPr>
          <w:rFonts w:ascii="Times New Roman" w:hAnsi="Times New Roman"/>
          <w:sz w:val="24"/>
          <w:szCs w:val="24"/>
        </w:rPr>
        <w:t>: Elaborer une  stratégie et plan d’actions pour le Bénin et évaluer la mise c</w:t>
      </w:r>
      <w:r>
        <w:rPr>
          <w:rFonts w:ascii="Times New Roman" w:hAnsi="Times New Roman"/>
          <w:sz w:val="24"/>
          <w:szCs w:val="24"/>
        </w:rPr>
        <w:t>elle du Togo et du Burkina Faso ;</w:t>
      </w:r>
    </w:p>
    <w:p w:rsidR="007326D7" w:rsidRPr="00B83C8C" w:rsidRDefault="007326D7" w:rsidP="007326D7">
      <w:pPr>
        <w:pStyle w:val="ListParagraph"/>
        <w:ind w:left="0" w:firstLine="708"/>
        <w:jc w:val="both"/>
        <w:rPr>
          <w:rFonts w:ascii="Times New Roman" w:hAnsi="Times New Roman"/>
          <w:sz w:val="24"/>
          <w:szCs w:val="24"/>
        </w:rPr>
      </w:pPr>
      <w:r w:rsidRPr="00B83C8C">
        <w:rPr>
          <w:rFonts w:ascii="Times New Roman" w:hAnsi="Times New Roman"/>
          <w:b/>
          <w:sz w:val="24"/>
          <w:szCs w:val="24"/>
        </w:rPr>
        <w:t>OS2 :</w:t>
      </w:r>
      <w:r w:rsidRPr="00B83C8C">
        <w:rPr>
          <w:rFonts w:ascii="Times New Roman" w:hAnsi="Times New Roman"/>
          <w:sz w:val="24"/>
          <w:szCs w:val="24"/>
        </w:rPr>
        <w:t xml:space="preserve"> Evaluer les besoins en matière de REDD+ pour le Bénin, le Togo et le Burkina Faso en  et le niveau d’émission pour chaque pays</w:t>
      </w:r>
      <w:r>
        <w:rPr>
          <w:rFonts w:ascii="Times New Roman" w:hAnsi="Times New Roman"/>
          <w:sz w:val="24"/>
          <w:szCs w:val="24"/>
        </w:rPr>
        <w:t> ;</w:t>
      </w:r>
    </w:p>
    <w:p w:rsidR="007326D7" w:rsidRPr="00B83C8C" w:rsidRDefault="007326D7" w:rsidP="007326D7">
      <w:pPr>
        <w:pStyle w:val="ListParagraph"/>
        <w:ind w:left="0" w:firstLine="708"/>
        <w:jc w:val="both"/>
        <w:rPr>
          <w:rFonts w:ascii="Times New Roman" w:hAnsi="Times New Roman"/>
          <w:sz w:val="24"/>
          <w:szCs w:val="24"/>
        </w:rPr>
      </w:pPr>
      <w:r w:rsidRPr="00B83C8C">
        <w:rPr>
          <w:rFonts w:ascii="Times New Roman" w:hAnsi="Times New Roman"/>
          <w:b/>
          <w:sz w:val="24"/>
          <w:szCs w:val="24"/>
        </w:rPr>
        <w:t>OS3</w:t>
      </w:r>
      <w:r w:rsidRPr="00B83C8C">
        <w:rPr>
          <w:rFonts w:ascii="Times New Roman" w:hAnsi="Times New Roman"/>
          <w:sz w:val="24"/>
          <w:szCs w:val="24"/>
        </w:rPr>
        <w:t> : Caractériser les différentes zones agro écologiques sensibles aux effets de serre dans chacun des trois pays</w:t>
      </w:r>
      <w:r>
        <w:rPr>
          <w:rFonts w:ascii="Times New Roman" w:hAnsi="Times New Roman"/>
          <w:sz w:val="24"/>
          <w:szCs w:val="24"/>
        </w:rPr>
        <w:t> ;</w:t>
      </w:r>
    </w:p>
    <w:p w:rsidR="007326D7" w:rsidRDefault="007326D7" w:rsidP="007326D7">
      <w:pPr>
        <w:pStyle w:val="ListParagraph"/>
        <w:ind w:left="0" w:firstLine="360"/>
        <w:jc w:val="both"/>
        <w:rPr>
          <w:rFonts w:ascii="Times New Roman" w:hAnsi="Times New Roman"/>
          <w:sz w:val="24"/>
          <w:szCs w:val="24"/>
        </w:rPr>
      </w:pPr>
      <w:r>
        <w:rPr>
          <w:rFonts w:ascii="Times New Roman" w:hAnsi="Times New Roman"/>
          <w:b/>
          <w:sz w:val="24"/>
          <w:szCs w:val="24"/>
        </w:rPr>
        <w:t>O</w:t>
      </w:r>
      <w:r w:rsidRPr="00B83C8C">
        <w:rPr>
          <w:rFonts w:ascii="Times New Roman" w:hAnsi="Times New Roman"/>
          <w:b/>
          <w:sz w:val="24"/>
          <w:szCs w:val="24"/>
        </w:rPr>
        <w:t>S4 </w:t>
      </w:r>
      <w:r w:rsidRPr="00B83C8C">
        <w:rPr>
          <w:rFonts w:ascii="Times New Roman" w:hAnsi="Times New Roman"/>
          <w:sz w:val="24"/>
          <w:szCs w:val="24"/>
        </w:rPr>
        <w:t>: Evaluer les services écosystémique</w:t>
      </w:r>
      <w:r>
        <w:rPr>
          <w:rFonts w:ascii="Times New Roman" w:hAnsi="Times New Roman"/>
          <w:sz w:val="24"/>
          <w:szCs w:val="24"/>
        </w:rPr>
        <w:t>s</w:t>
      </w:r>
      <w:r w:rsidRPr="00B83C8C">
        <w:rPr>
          <w:rFonts w:ascii="Times New Roman" w:hAnsi="Times New Roman"/>
          <w:sz w:val="24"/>
          <w:szCs w:val="24"/>
        </w:rPr>
        <w:t xml:space="preserve"> des écosystèmes transfrontaliers des 3 pays en vu</w:t>
      </w:r>
      <w:r>
        <w:rPr>
          <w:rFonts w:ascii="Times New Roman" w:hAnsi="Times New Roman"/>
          <w:sz w:val="24"/>
          <w:szCs w:val="24"/>
        </w:rPr>
        <w:t>e</w:t>
      </w:r>
      <w:r w:rsidRPr="00B83C8C">
        <w:rPr>
          <w:rFonts w:ascii="Times New Roman" w:hAnsi="Times New Roman"/>
          <w:sz w:val="24"/>
          <w:szCs w:val="24"/>
        </w:rPr>
        <w:t xml:space="preserve"> de mettre en place un système de suivi de l’utilisation desdits écosystèmes</w:t>
      </w:r>
      <w:r>
        <w:rPr>
          <w:rFonts w:ascii="Times New Roman" w:hAnsi="Times New Roman"/>
          <w:sz w:val="24"/>
          <w:szCs w:val="24"/>
        </w:rPr>
        <w:t>.</w:t>
      </w:r>
    </w:p>
    <w:p w:rsidR="007326D7" w:rsidRPr="00B83C8C" w:rsidRDefault="007326D7" w:rsidP="007326D7">
      <w:pPr>
        <w:pStyle w:val="ListParagraph"/>
        <w:ind w:left="0" w:firstLine="360"/>
        <w:jc w:val="both"/>
        <w:rPr>
          <w:rFonts w:ascii="Times New Roman" w:hAnsi="Times New Roman"/>
          <w:sz w:val="24"/>
          <w:szCs w:val="24"/>
        </w:rPr>
      </w:pPr>
    </w:p>
    <w:p w:rsidR="007326D7" w:rsidRPr="00B83C8C" w:rsidRDefault="007326D7" w:rsidP="007326D7">
      <w:pPr>
        <w:pStyle w:val="ListParagraph"/>
        <w:numPr>
          <w:ilvl w:val="0"/>
          <w:numId w:val="1"/>
        </w:numPr>
        <w:jc w:val="both"/>
        <w:rPr>
          <w:rFonts w:ascii="Times New Roman" w:hAnsi="Times New Roman"/>
          <w:sz w:val="24"/>
          <w:szCs w:val="24"/>
        </w:rPr>
      </w:pPr>
      <w:r w:rsidRPr="00B83C8C">
        <w:rPr>
          <w:rFonts w:ascii="Times New Roman" w:hAnsi="Times New Roman"/>
          <w:b/>
          <w:sz w:val="24"/>
          <w:szCs w:val="24"/>
        </w:rPr>
        <w:t>Portée de l’évaluation des besoins</w:t>
      </w:r>
    </w:p>
    <w:p w:rsidR="007326D7" w:rsidRPr="00B83C8C" w:rsidRDefault="007326D7" w:rsidP="007326D7">
      <w:pPr>
        <w:pStyle w:val="Default"/>
        <w:spacing w:before="3"/>
        <w:jc w:val="both"/>
        <w:rPr>
          <w:rFonts w:ascii="Times New Roman" w:hAnsi="Times New Roman" w:cs="Times New Roman"/>
          <w:color w:val="auto"/>
        </w:rPr>
      </w:pPr>
      <w:r w:rsidRPr="00B83C8C">
        <w:rPr>
          <w:rFonts w:ascii="Times New Roman" w:hAnsi="Times New Roman" w:cs="Times New Roman"/>
          <w:bCs/>
          <w:color w:val="auto"/>
        </w:rPr>
        <w:t>Avec la hausse de température de 1° C à l’horizon 2050 il y a risque de stress hydrique et lorsque le stress deviendra  chronique, on assisterait à un dessèchement qui impliquerait une grande  mortalité des arbres.</w:t>
      </w:r>
    </w:p>
    <w:p w:rsidR="007326D7" w:rsidRPr="00B83C8C" w:rsidRDefault="007326D7" w:rsidP="007326D7">
      <w:pPr>
        <w:pStyle w:val="Default"/>
        <w:spacing w:before="3"/>
        <w:jc w:val="both"/>
        <w:rPr>
          <w:rFonts w:ascii="Times New Roman" w:hAnsi="Times New Roman" w:cs="Times New Roman"/>
        </w:rPr>
      </w:pPr>
      <w:r w:rsidRPr="00B83C8C">
        <w:rPr>
          <w:rFonts w:ascii="Times New Roman" w:hAnsi="Times New Roman" w:cs="Times New Roman"/>
        </w:rPr>
        <w:t xml:space="preserve">La réduction des émissions liées à la déforestation et à la dégradation des forêts dans les pays en développement, et le rôle de la conservation, de la gestion durable des forêts et du renforcement des stocks de carbone forestiers dans les pays en développement (REDD+) sont des éléments importants du régime international des changements climatiques. </w:t>
      </w:r>
    </w:p>
    <w:p w:rsidR="007326D7" w:rsidRPr="00B83C8C" w:rsidRDefault="007326D7" w:rsidP="007326D7">
      <w:pPr>
        <w:pStyle w:val="Default"/>
        <w:spacing w:before="3"/>
        <w:jc w:val="both"/>
        <w:rPr>
          <w:rFonts w:ascii="Times New Roman" w:hAnsi="Times New Roman" w:cs="Times New Roman"/>
        </w:rPr>
      </w:pPr>
      <w:r w:rsidRPr="00B83C8C">
        <w:rPr>
          <w:rFonts w:ascii="Times New Roman" w:hAnsi="Times New Roman" w:cs="Times New Roman"/>
        </w:rPr>
        <w:t xml:space="preserve">Le Bénin n’ayant pas mis </w:t>
      </w:r>
      <w:r>
        <w:rPr>
          <w:rFonts w:ascii="Times New Roman" w:hAnsi="Times New Roman" w:cs="Times New Roman"/>
        </w:rPr>
        <w:t xml:space="preserve">en œuvre </w:t>
      </w:r>
      <w:r w:rsidRPr="00B83C8C">
        <w:rPr>
          <w:rFonts w:ascii="Times New Roman" w:hAnsi="Times New Roman" w:cs="Times New Roman"/>
        </w:rPr>
        <w:t>sa stratégie REDD+ auparavant, il existe de besoin de renforcement des capacités dans le domaine de la gestion et conservation de la biodiversité au niveau des structures étatiques, la société civile, communautés locales. Les principaux obstacles au développement des stratégies de sauvegarde sont la pauvreté grandissante des populations locales, les ressources financières très limitées et non durables pour le développement des activités et la faible connectivité des écosystèmes.</w:t>
      </w:r>
    </w:p>
    <w:p w:rsidR="007326D7" w:rsidRPr="00B83C8C" w:rsidRDefault="007326D7" w:rsidP="007326D7">
      <w:pPr>
        <w:jc w:val="both"/>
        <w:rPr>
          <w:rFonts w:ascii="Times New Roman" w:hAnsi="Times New Roman"/>
          <w:sz w:val="24"/>
          <w:szCs w:val="24"/>
        </w:rPr>
      </w:pPr>
      <w:r w:rsidRPr="00B83C8C">
        <w:rPr>
          <w:rFonts w:ascii="Times New Roman" w:hAnsi="Times New Roman"/>
          <w:sz w:val="24"/>
          <w:szCs w:val="24"/>
        </w:rPr>
        <w:t>Au Togo et au Burkina Faso où il existe une stratégie, sa mise en œuvre   et son suivi restent actuel et demandent également plus de travail. Par ailleurs, la détermination du niveau d’émission des trois n’est pas défini et les efforts à fournir restent actuel</w:t>
      </w:r>
      <w:r>
        <w:rPr>
          <w:rFonts w:ascii="Times New Roman" w:hAnsi="Times New Roman"/>
          <w:sz w:val="24"/>
          <w:szCs w:val="24"/>
        </w:rPr>
        <w:t>s</w:t>
      </w:r>
      <w:r w:rsidRPr="00B83C8C">
        <w:rPr>
          <w:rFonts w:ascii="Times New Roman" w:hAnsi="Times New Roman"/>
          <w:sz w:val="24"/>
          <w:szCs w:val="24"/>
        </w:rPr>
        <w:t xml:space="preserve"> parce que la REDD+ n’est pas encore intégrée dans les politiques et stratégies de ces pays. </w:t>
      </w:r>
    </w:p>
    <w:p w:rsidR="007326D7" w:rsidRPr="00B83C8C" w:rsidRDefault="007326D7" w:rsidP="007326D7">
      <w:pPr>
        <w:pStyle w:val="ListParagraph"/>
        <w:numPr>
          <w:ilvl w:val="0"/>
          <w:numId w:val="1"/>
        </w:numPr>
        <w:jc w:val="both"/>
        <w:rPr>
          <w:rFonts w:ascii="Times New Roman" w:hAnsi="Times New Roman"/>
          <w:sz w:val="24"/>
          <w:szCs w:val="24"/>
        </w:rPr>
      </w:pPr>
      <w:r>
        <w:rPr>
          <w:rFonts w:ascii="Times New Roman" w:hAnsi="Times New Roman"/>
          <w:b/>
          <w:sz w:val="24"/>
          <w:szCs w:val="24"/>
        </w:rPr>
        <w:t>L</w:t>
      </w:r>
      <w:r w:rsidRPr="00B83C8C">
        <w:rPr>
          <w:rFonts w:ascii="Times New Roman" w:hAnsi="Times New Roman"/>
          <w:b/>
          <w:sz w:val="24"/>
          <w:szCs w:val="24"/>
        </w:rPr>
        <w:t>es synergies et opportunités régionales et les pays qui y participeront</w:t>
      </w:r>
    </w:p>
    <w:p w:rsidR="007326D7" w:rsidRPr="00B83C8C" w:rsidRDefault="007326D7" w:rsidP="007326D7">
      <w:pPr>
        <w:jc w:val="both"/>
        <w:rPr>
          <w:rFonts w:ascii="Times New Roman" w:hAnsi="Times New Roman"/>
          <w:sz w:val="24"/>
          <w:szCs w:val="24"/>
        </w:rPr>
      </w:pPr>
      <w:r w:rsidRPr="00B83C8C">
        <w:rPr>
          <w:rFonts w:ascii="Times New Roman" w:hAnsi="Times New Roman"/>
          <w:sz w:val="24"/>
          <w:szCs w:val="24"/>
        </w:rPr>
        <w:t>Ce programme sera cogéré par le Bénin, le Togo et le Burkina Faso qui dispose</w:t>
      </w:r>
      <w:r>
        <w:rPr>
          <w:rFonts w:ascii="Times New Roman" w:hAnsi="Times New Roman"/>
          <w:sz w:val="24"/>
          <w:szCs w:val="24"/>
        </w:rPr>
        <w:t>nt</w:t>
      </w:r>
      <w:r w:rsidRPr="00B83C8C">
        <w:rPr>
          <w:rFonts w:ascii="Times New Roman" w:hAnsi="Times New Roman"/>
          <w:sz w:val="24"/>
          <w:szCs w:val="24"/>
        </w:rPr>
        <w:t xml:space="preserve"> </w:t>
      </w:r>
      <w:r>
        <w:rPr>
          <w:rFonts w:ascii="Times New Roman" w:hAnsi="Times New Roman"/>
          <w:sz w:val="24"/>
          <w:szCs w:val="24"/>
        </w:rPr>
        <w:t>d</w:t>
      </w:r>
      <w:r w:rsidRPr="00B83C8C">
        <w:rPr>
          <w:rFonts w:ascii="Times New Roman" w:hAnsi="Times New Roman"/>
          <w:sz w:val="24"/>
          <w:szCs w:val="24"/>
        </w:rPr>
        <w:t>es mêmes écosystèmes transfrontaliers entre lesquels il existe déjà une synergie par rap</w:t>
      </w:r>
      <w:r>
        <w:rPr>
          <w:rFonts w:ascii="Times New Roman" w:hAnsi="Times New Roman"/>
          <w:sz w:val="24"/>
          <w:szCs w:val="24"/>
        </w:rPr>
        <w:t xml:space="preserve">port à la gestion des savanes, </w:t>
      </w:r>
      <w:r w:rsidRPr="00B83C8C">
        <w:rPr>
          <w:rFonts w:ascii="Times New Roman" w:hAnsi="Times New Roman"/>
          <w:sz w:val="24"/>
          <w:szCs w:val="24"/>
        </w:rPr>
        <w:t>de la faune, flore et des écosystèmes. Evaluation régionale visant une conjugaison des efforts du BENIN, TOGO et du BURKINA FASO dans le cadre de la Réduction des Emissions de la Déforestation et de la Dégradation des forêts telles que prévues par ONU-REDD permettra aux trois pays de s’adapter aux effets néfastes des changements climatiques.</w:t>
      </w:r>
    </w:p>
    <w:p w:rsidR="007326D7" w:rsidRPr="00B83C8C" w:rsidRDefault="007326D7" w:rsidP="007326D7">
      <w:pPr>
        <w:jc w:val="both"/>
        <w:rPr>
          <w:rFonts w:ascii="Times New Roman" w:hAnsi="Times New Roman"/>
          <w:b/>
          <w:sz w:val="24"/>
          <w:szCs w:val="24"/>
        </w:rPr>
      </w:pPr>
    </w:p>
    <w:p w:rsidR="007326D7" w:rsidRPr="00B83C8C" w:rsidRDefault="007326D7" w:rsidP="007326D7">
      <w:pPr>
        <w:autoSpaceDE w:val="0"/>
        <w:autoSpaceDN w:val="0"/>
        <w:adjustRightInd w:val="0"/>
        <w:spacing w:after="0" w:line="240" w:lineRule="auto"/>
        <w:rPr>
          <w:rFonts w:ascii="Times New Roman" w:hAnsi="Times New Roman"/>
          <w:bCs/>
          <w:sz w:val="24"/>
          <w:szCs w:val="24"/>
        </w:rPr>
      </w:pPr>
    </w:p>
    <w:p w:rsidR="007326D7" w:rsidRDefault="007326D7" w:rsidP="007326D7">
      <w:pPr>
        <w:spacing w:line="360" w:lineRule="auto"/>
        <w:jc w:val="both"/>
        <w:rPr>
          <w:rFonts w:ascii="Times New Roman" w:hAnsi="Times New Roman"/>
          <w:sz w:val="24"/>
          <w:szCs w:val="24"/>
        </w:rPr>
      </w:pPr>
    </w:p>
    <w:p w:rsidR="007326D7" w:rsidRPr="00B83C8C" w:rsidRDefault="007326D7" w:rsidP="007326D7">
      <w:pPr>
        <w:spacing w:line="360" w:lineRule="auto"/>
        <w:jc w:val="both"/>
        <w:rPr>
          <w:rFonts w:ascii="Times New Roman" w:hAnsi="Times New Roman"/>
          <w:sz w:val="24"/>
          <w:szCs w:val="24"/>
        </w:rPr>
      </w:pPr>
    </w:p>
    <w:p w:rsidR="007326D7" w:rsidRPr="00B83C8C" w:rsidRDefault="007326D7" w:rsidP="007326D7">
      <w:pPr>
        <w:pStyle w:val="ListParagraph"/>
        <w:numPr>
          <w:ilvl w:val="0"/>
          <w:numId w:val="1"/>
        </w:numPr>
        <w:jc w:val="both"/>
        <w:rPr>
          <w:rFonts w:ascii="Times New Roman" w:hAnsi="Times New Roman"/>
          <w:b/>
          <w:sz w:val="24"/>
          <w:szCs w:val="24"/>
        </w:rPr>
      </w:pPr>
      <w:r w:rsidRPr="00B83C8C">
        <w:rPr>
          <w:rFonts w:ascii="Times New Roman" w:hAnsi="Times New Roman"/>
          <w:b/>
          <w:sz w:val="24"/>
          <w:szCs w:val="24"/>
        </w:rPr>
        <w:t>Plan de travail, indicateurs de suivi qualitatif et quantitatif et budget</w:t>
      </w:r>
    </w:p>
    <w:tbl>
      <w:tblPr>
        <w:tblW w:w="9656" w:type="dxa"/>
        <w:tblInd w:w="53" w:type="dxa"/>
        <w:tblCellMar>
          <w:left w:w="70" w:type="dxa"/>
          <w:right w:w="70" w:type="dxa"/>
        </w:tblCellMar>
        <w:tblLook w:val="04A0" w:firstRow="1" w:lastRow="0" w:firstColumn="1" w:lastColumn="0" w:noHBand="0" w:noVBand="1"/>
      </w:tblPr>
      <w:tblGrid>
        <w:gridCol w:w="1500"/>
        <w:gridCol w:w="5038"/>
        <w:gridCol w:w="425"/>
        <w:gridCol w:w="284"/>
        <w:gridCol w:w="283"/>
        <w:gridCol w:w="284"/>
        <w:gridCol w:w="283"/>
        <w:gridCol w:w="425"/>
        <w:gridCol w:w="284"/>
        <w:gridCol w:w="283"/>
        <w:gridCol w:w="284"/>
        <w:gridCol w:w="283"/>
      </w:tblGrid>
      <w:tr w:rsidR="007326D7" w:rsidRPr="006D24FE" w:rsidTr="002172F0">
        <w:trPr>
          <w:trHeight w:val="300"/>
          <w:tblHeader/>
        </w:trPr>
        <w:tc>
          <w:tcPr>
            <w:tcW w:w="1500" w:type="dxa"/>
            <w:vMerge w:val="restart"/>
            <w:tcBorders>
              <w:top w:val="single" w:sz="4" w:space="0" w:color="auto"/>
              <w:left w:val="single" w:sz="4" w:space="0" w:color="auto"/>
              <w:bottom w:val="single" w:sz="4" w:space="0" w:color="auto"/>
              <w:right w:val="single" w:sz="4" w:space="0" w:color="auto"/>
            </w:tcBorders>
            <w:shd w:val="clear" w:color="auto" w:fill="DDD9C3"/>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Composante</w:t>
            </w:r>
            <w:r>
              <w:rPr>
                <w:rFonts w:eastAsia="Times New Roman"/>
                <w:color w:val="000000"/>
                <w:lang w:eastAsia="fr-FR"/>
              </w:rPr>
              <w:t>s</w:t>
            </w:r>
            <w:r w:rsidRPr="006D24FE">
              <w:rPr>
                <w:rFonts w:eastAsia="Times New Roman"/>
                <w:color w:val="000000"/>
                <w:lang w:eastAsia="fr-FR"/>
              </w:rPr>
              <w:t xml:space="preserve"> </w:t>
            </w:r>
          </w:p>
        </w:tc>
        <w:tc>
          <w:tcPr>
            <w:tcW w:w="5038" w:type="dxa"/>
            <w:vMerge w:val="restart"/>
            <w:tcBorders>
              <w:top w:val="single" w:sz="4" w:space="0" w:color="auto"/>
              <w:left w:val="single" w:sz="4" w:space="0" w:color="auto"/>
              <w:bottom w:val="single" w:sz="4" w:space="0" w:color="auto"/>
              <w:right w:val="single" w:sz="4" w:space="0" w:color="auto"/>
            </w:tcBorders>
            <w:shd w:val="clear" w:color="auto" w:fill="DDD9C3"/>
            <w:noWrap/>
            <w:vAlign w:val="bottom"/>
            <w:hideMark/>
          </w:tcPr>
          <w:p w:rsidR="007326D7" w:rsidRPr="006D24FE" w:rsidRDefault="007326D7" w:rsidP="002172F0">
            <w:pPr>
              <w:spacing w:after="0" w:line="240" w:lineRule="auto"/>
              <w:jc w:val="center"/>
              <w:rPr>
                <w:rFonts w:ascii="Times New Roman" w:eastAsia="Times New Roman" w:hAnsi="Times New Roman"/>
                <w:b/>
                <w:bCs/>
                <w:color w:val="000000"/>
                <w:sz w:val="20"/>
                <w:szCs w:val="20"/>
                <w:lang w:eastAsia="fr-FR"/>
              </w:rPr>
            </w:pPr>
            <w:r w:rsidRPr="006D24FE">
              <w:rPr>
                <w:rFonts w:ascii="Times New Roman" w:eastAsia="Times New Roman" w:hAnsi="Times New Roman"/>
                <w:b/>
                <w:bCs/>
                <w:color w:val="000000"/>
                <w:sz w:val="20"/>
                <w:szCs w:val="20"/>
                <w:lang w:eastAsia="fr-FR"/>
              </w:rPr>
              <w:t>Activités</w:t>
            </w:r>
          </w:p>
        </w:tc>
        <w:tc>
          <w:tcPr>
            <w:tcW w:w="3118" w:type="dxa"/>
            <w:gridSpan w:val="10"/>
            <w:tcBorders>
              <w:top w:val="single" w:sz="4" w:space="0" w:color="auto"/>
              <w:left w:val="nil"/>
              <w:bottom w:val="single" w:sz="4" w:space="0" w:color="auto"/>
              <w:right w:val="single" w:sz="4" w:space="0" w:color="000000"/>
            </w:tcBorders>
            <w:shd w:val="clear" w:color="auto" w:fill="DDD9C3"/>
            <w:noWrap/>
            <w:vAlign w:val="bottom"/>
            <w:hideMark/>
          </w:tcPr>
          <w:p w:rsidR="007326D7" w:rsidRPr="006D24FE" w:rsidRDefault="007326D7" w:rsidP="002172F0">
            <w:pPr>
              <w:spacing w:after="0" w:line="240" w:lineRule="auto"/>
              <w:jc w:val="center"/>
              <w:rPr>
                <w:rFonts w:eastAsia="Times New Roman"/>
                <w:color w:val="000000"/>
                <w:lang w:eastAsia="fr-FR"/>
              </w:rPr>
            </w:pPr>
            <w:r w:rsidRPr="006D24FE">
              <w:rPr>
                <w:rFonts w:eastAsia="Times New Roman"/>
                <w:color w:val="000000"/>
                <w:lang w:eastAsia="fr-FR"/>
              </w:rPr>
              <w:t xml:space="preserve">Chronogramme des activités du projet </w:t>
            </w:r>
          </w:p>
        </w:tc>
      </w:tr>
      <w:tr w:rsidR="007326D7" w:rsidRPr="006D24FE" w:rsidTr="002172F0">
        <w:trPr>
          <w:trHeight w:val="212"/>
        </w:trPr>
        <w:tc>
          <w:tcPr>
            <w:tcW w:w="1500" w:type="dxa"/>
            <w:vMerge/>
            <w:tcBorders>
              <w:top w:val="single" w:sz="4" w:space="0" w:color="auto"/>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eastAsia="Times New Roman"/>
                <w:color w:val="000000"/>
                <w:lang w:eastAsia="fr-FR"/>
              </w:rPr>
            </w:pPr>
          </w:p>
        </w:tc>
        <w:tc>
          <w:tcPr>
            <w:tcW w:w="5038" w:type="dxa"/>
            <w:vMerge/>
            <w:tcBorders>
              <w:top w:val="single" w:sz="4" w:space="0" w:color="auto"/>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b/>
                <w:bCs/>
                <w:color w:val="000000"/>
                <w:sz w:val="20"/>
                <w:szCs w:val="20"/>
                <w:lang w:eastAsia="fr-FR"/>
              </w:rPr>
            </w:pPr>
          </w:p>
        </w:tc>
        <w:tc>
          <w:tcPr>
            <w:tcW w:w="992" w:type="dxa"/>
            <w:gridSpan w:val="3"/>
            <w:tcBorders>
              <w:top w:val="single" w:sz="4" w:space="0" w:color="auto"/>
              <w:left w:val="nil"/>
              <w:bottom w:val="single" w:sz="4" w:space="0" w:color="auto"/>
              <w:right w:val="single" w:sz="4" w:space="0" w:color="auto"/>
            </w:tcBorders>
            <w:shd w:val="clear" w:color="auto" w:fill="DDD9C3"/>
            <w:noWrap/>
            <w:vAlign w:val="bottom"/>
            <w:hideMark/>
          </w:tcPr>
          <w:p w:rsidR="007326D7" w:rsidRPr="006D24FE" w:rsidRDefault="007326D7" w:rsidP="002172F0">
            <w:pPr>
              <w:spacing w:after="0" w:line="240" w:lineRule="auto"/>
              <w:jc w:val="center"/>
              <w:rPr>
                <w:rFonts w:eastAsia="Times New Roman"/>
                <w:color w:val="000000"/>
                <w:lang w:eastAsia="fr-FR"/>
              </w:rPr>
            </w:pPr>
            <w:r w:rsidRPr="006D24FE">
              <w:rPr>
                <w:rFonts w:eastAsia="Times New Roman"/>
                <w:color w:val="000000"/>
                <w:lang w:eastAsia="fr-FR"/>
              </w:rPr>
              <w:t>Année 1</w:t>
            </w:r>
          </w:p>
        </w:tc>
        <w:tc>
          <w:tcPr>
            <w:tcW w:w="992" w:type="dxa"/>
            <w:gridSpan w:val="3"/>
            <w:tcBorders>
              <w:top w:val="single" w:sz="4" w:space="0" w:color="auto"/>
              <w:left w:val="nil"/>
              <w:bottom w:val="single" w:sz="4" w:space="0" w:color="auto"/>
              <w:right w:val="single" w:sz="4" w:space="0" w:color="auto"/>
            </w:tcBorders>
            <w:shd w:val="clear" w:color="auto" w:fill="DDD9C3"/>
            <w:noWrap/>
            <w:vAlign w:val="bottom"/>
            <w:hideMark/>
          </w:tcPr>
          <w:p w:rsidR="007326D7" w:rsidRPr="006D24FE" w:rsidRDefault="007326D7" w:rsidP="002172F0">
            <w:pPr>
              <w:spacing w:after="0" w:line="240" w:lineRule="auto"/>
              <w:jc w:val="center"/>
              <w:rPr>
                <w:rFonts w:eastAsia="Times New Roman"/>
                <w:color w:val="000000"/>
                <w:lang w:eastAsia="fr-FR"/>
              </w:rPr>
            </w:pPr>
            <w:r w:rsidRPr="006D24FE">
              <w:rPr>
                <w:rFonts w:eastAsia="Times New Roman"/>
                <w:color w:val="000000"/>
                <w:lang w:eastAsia="fr-FR"/>
              </w:rPr>
              <w:t>Année 2</w:t>
            </w:r>
          </w:p>
        </w:tc>
        <w:tc>
          <w:tcPr>
            <w:tcW w:w="1134" w:type="dxa"/>
            <w:gridSpan w:val="4"/>
            <w:tcBorders>
              <w:top w:val="single" w:sz="4" w:space="0" w:color="auto"/>
              <w:left w:val="nil"/>
              <w:bottom w:val="single" w:sz="4" w:space="0" w:color="auto"/>
              <w:right w:val="single" w:sz="4" w:space="0" w:color="auto"/>
            </w:tcBorders>
            <w:shd w:val="clear" w:color="auto" w:fill="DDD9C3"/>
            <w:noWrap/>
            <w:vAlign w:val="bottom"/>
            <w:hideMark/>
          </w:tcPr>
          <w:p w:rsidR="007326D7" w:rsidRPr="006D24FE" w:rsidRDefault="007326D7" w:rsidP="002172F0">
            <w:pPr>
              <w:spacing w:after="0" w:line="240" w:lineRule="auto"/>
              <w:jc w:val="center"/>
              <w:rPr>
                <w:rFonts w:eastAsia="Times New Roman"/>
                <w:color w:val="000000"/>
                <w:lang w:eastAsia="fr-FR"/>
              </w:rPr>
            </w:pPr>
            <w:r w:rsidRPr="006D24FE">
              <w:rPr>
                <w:rFonts w:eastAsia="Times New Roman"/>
                <w:color w:val="000000"/>
                <w:lang w:eastAsia="fr-FR"/>
              </w:rPr>
              <w:t xml:space="preserve">Année 3 </w:t>
            </w:r>
          </w:p>
        </w:tc>
      </w:tr>
      <w:tr w:rsidR="007326D7" w:rsidRPr="006D24FE" w:rsidTr="002172F0">
        <w:trPr>
          <w:trHeight w:val="233"/>
        </w:trPr>
        <w:tc>
          <w:tcPr>
            <w:tcW w:w="1500" w:type="dxa"/>
            <w:vMerge w:val="restart"/>
            <w:tcBorders>
              <w:top w:val="nil"/>
              <w:left w:val="single" w:sz="4" w:space="0" w:color="auto"/>
              <w:right w:val="single" w:sz="4" w:space="0" w:color="auto"/>
            </w:tcBorders>
            <w:shd w:val="clear" w:color="auto" w:fill="auto"/>
            <w:vAlign w:val="bottom"/>
            <w:hideMark/>
          </w:tcPr>
          <w:p w:rsidR="007326D7" w:rsidRPr="006D24FE" w:rsidRDefault="007326D7" w:rsidP="002172F0">
            <w:pPr>
              <w:spacing w:after="0" w:line="240" w:lineRule="auto"/>
              <w:jc w:val="center"/>
              <w:rPr>
                <w:rFonts w:eastAsia="Times New Roman"/>
                <w:color w:val="000000"/>
                <w:lang w:eastAsia="fr-FR"/>
              </w:rPr>
            </w:pPr>
            <w:r w:rsidRPr="006D24FE">
              <w:rPr>
                <w:rFonts w:eastAsia="Times New Roman"/>
                <w:color w:val="000000"/>
                <w:lang w:eastAsia="fr-FR"/>
              </w:rPr>
              <w:t xml:space="preserve"> Elaboration des stratégies et harmonisation des actions des trois pays</w:t>
            </w:r>
          </w:p>
          <w:p w:rsidR="007326D7" w:rsidRPr="006D24FE" w:rsidRDefault="007326D7" w:rsidP="002172F0">
            <w:pPr>
              <w:rPr>
                <w:rFonts w:eastAsia="Times New Roman"/>
                <w:color w:val="000000"/>
                <w:lang w:eastAsia="fr-FR"/>
              </w:rPr>
            </w:pPr>
            <w:r w:rsidRPr="006D24FE">
              <w:rPr>
                <w:rFonts w:eastAsia="Times New Roman"/>
                <w:color w:val="000000"/>
                <w:lang w:eastAsia="fr-FR"/>
              </w:rPr>
              <w:t> </w:t>
            </w: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 xml:space="preserve"> Faire le diagnostic des secteurs d’émission CO</w:t>
            </w:r>
            <w:r w:rsidRPr="00997A34">
              <w:rPr>
                <w:rFonts w:ascii="Times New Roman" w:eastAsia="Times New Roman" w:hAnsi="Times New Roman"/>
                <w:color w:val="000000"/>
                <w:sz w:val="20"/>
                <w:szCs w:val="20"/>
                <w:vertAlign w:val="subscript"/>
                <w:lang w:eastAsia="fr-FR"/>
              </w:rPr>
              <w:t>2</w:t>
            </w:r>
          </w:p>
        </w:tc>
        <w:tc>
          <w:tcPr>
            <w:tcW w:w="425"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78"/>
        </w:trPr>
        <w:tc>
          <w:tcPr>
            <w:tcW w:w="1500" w:type="dxa"/>
            <w:vMerge/>
            <w:tcBorders>
              <w:left w:val="single" w:sz="4" w:space="0" w:color="auto"/>
              <w:right w:val="single" w:sz="4" w:space="0" w:color="auto"/>
            </w:tcBorders>
            <w:vAlign w:val="center"/>
            <w:hideMark/>
          </w:tcPr>
          <w:p w:rsidR="007326D7" w:rsidRPr="006D24FE" w:rsidRDefault="007326D7" w:rsidP="002172F0">
            <w:pPr>
              <w:rPr>
                <w:rFonts w:eastAsia="Times New Roman"/>
                <w:color w:val="00000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Renforcer la formation, la communication, l’éducation et la sensibilisation</w:t>
            </w:r>
            <w:r>
              <w:rPr>
                <w:rFonts w:ascii="Times New Roman" w:eastAsia="Times New Roman" w:hAnsi="Times New Roman"/>
                <w:color w:val="000000"/>
                <w:sz w:val="20"/>
                <w:szCs w:val="20"/>
                <w:lang w:eastAsia="fr-FR"/>
              </w:rPr>
              <w:t>.</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11"/>
        </w:trPr>
        <w:tc>
          <w:tcPr>
            <w:tcW w:w="1500" w:type="dxa"/>
            <w:vMerge/>
            <w:tcBorders>
              <w:left w:val="single" w:sz="4" w:space="0" w:color="auto"/>
              <w:right w:val="single" w:sz="4" w:space="0" w:color="auto"/>
            </w:tcBorders>
            <w:vAlign w:val="center"/>
            <w:hideMark/>
          </w:tcPr>
          <w:p w:rsidR="007326D7" w:rsidRPr="006D24FE" w:rsidRDefault="007326D7" w:rsidP="002172F0">
            <w:pPr>
              <w:rPr>
                <w:rFonts w:eastAsia="Times New Roman"/>
                <w:color w:val="00000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Elaborer une stratégie en matière de REDD+ pour l</w:t>
            </w:r>
            <w:r>
              <w:rPr>
                <w:rFonts w:ascii="Times New Roman" w:eastAsia="Times New Roman" w:hAnsi="Times New Roman"/>
                <w:color w:val="000000"/>
                <w:sz w:val="20"/>
                <w:szCs w:val="20"/>
                <w:lang w:eastAsia="fr-FR"/>
              </w:rPr>
              <w:t>e</w:t>
            </w:r>
            <w:r w:rsidRPr="006D24FE">
              <w:rPr>
                <w:rFonts w:ascii="Times New Roman" w:eastAsia="Times New Roman" w:hAnsi="Times New Roman"/>
                <w:color w:val="000000"/>
                <w:sz w:val="20"/>
                <w:szCs w:val="20"/>
                <w:lang w:eastAsia="fr-FR"/>
              </w:rPr>
              <w:t xml:space="preserve"> Bénin</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21"/>
        </w:trPr>
        <w:tc>
          <w:tcPr>
            <w:tcW w:w="1500" w:type="dxa"/>
            <w:vMerge/>
            <w:tcBorders>
              <w:left w:val="single" w:sz="4" w:space="0" w:color="auto"/>
              <w:right w:val="single" w:sz="4" w:space="0" w:color="auto"/>
            </w:tcBorders>
            <w:vAlign w:val="center"/>
            <w:hideMark/>
          </w:tcPr>
          <w:p w:rsidR="007326D7" w:rsidRPr="006D24FE" w:rsidRDefault="007326D7" w:rsidP="002172F0">
            <w:pPr>
              <w:rPr>
                <w:rFonts w:eastAsia="Times New Roman"/>
                <w:color w:val="00000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Mobiliser les types d’acteurs pour adopter des attitudes d’adaptation aux changements climatiques</w:t>
            </w:r>
            <w:r>
              <w:rPr>
                <w:rFonts w:ascii="Times New Roman" w:eastAsia="Times New Roman" w:hAnsi="Times New Roman"/>
                <w:color w:val="000000"/>
                <w:sz w:val="20"/>
                <w:szCs w:val="20"/>
                <w:lang w:eastAsia="fr-FR"/>
              </w:rPr>
              <w:t>.</w:t>
            </w:r>
          </w:p>
        </w:tc>
        <w:tc>
          <w:tcPr>
            <w:tcW w:w="425"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77"/>
        </w:trPr>
        <w:tc>
          <w:tcPr>
            <w:tcW w:w="1500" w:type="dxa"/>
            <w:vMerge/>
            <w:tcBorders>
              <w:left w:val="single" w:sz="4" w:space="0" w:color="auto"/>
              <w:right w:val="single" w:sz="4" w:space="0" w:color="auto"/>
            </w:tcBorders>
            <w:vAlign w:val="center"/>
            <w:hideMark/>
          </w:tcPr>
          <w:p w:rsidR="007326D7" w:rsidRPr="006D24FE" w:rsidRDefault="007326D7" w:rsidP="002172F0">
            <w:pPr>
              <w:rPr>
                <w:rFonts w:eastAsia="Times New Roman"/>
                <w:color w:val="00000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Améliorer le cadre institutionnel et réglementaire de gestion de la REDD+ dans les trois pays</w:t>
            </w:r>
            <w:r>
              <w:rPr>
                <w:rFonts w:ascii="Times New Roman" w:eastAsia="Times New Roman" w:hAnsi="Times New Roman"/>
                <w:color w:val="000000"/>
                <w:sz w:val="20"/>
                <w:szCs w:val="20"/>
                <w:lang w:eastAsia="fr-FR"/>
              </w:rPr>
              <w:t>.</w:t>
            </w:r>
            <w:r w:rsidRPr="006D24FE">
              <w:rPr>
                <w:rFonts w:ascii="Times New Roman" w:eastAsia="Times New Roman" w:hAnsi="Times New Roman"/>
                <w:color w:val="000000"/>
                <w:sz w:val="20"/>
                <w:szCs w:val="20"/>
                <w:lang w:eastAsia="fr-FR"/>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671"/>
        </w:trPr>
        <w:tc>
          <w:tcPr>
            <w:tcW w:w="1500" w:type="dxa"/>
            <w:vMerge/>
            <w:tcBorders>
              <w:left w:val="single" w:sz="4" w:space="0" w:color="auto"/>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Elaborer  un système régional de surveillance des forêts pour constater les effets de la stratégie et la performance qui lui est imputable</w:t>
            </w:r>
            <w:r>
              <w:rPr>
                <w:rFonts w:ascii="Times New Roman" w:eastAsia="Times New Roman" w:hAnsi="Times New Roman"/>
                <w:color w:val="000000"/>
                <w:sz w:val="20"/>
                <w:szCs w:val="20"/>
                <w:lang w:eastAsia="fr-FR"/>
              </w:rPr>
              <w:t>.</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FF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197"/>
        </w:trPr>
        <w:tc>
          <w:tcPr>
            <w:tcW w:w="1500" w:type="dxa"/>
            <w:vMerge w:val="restart"/>
            <w:tcBorders>
              <w:top w:val="nil"/>
              <w:left w:val="single" w:sz="4" w:space="0" w:color="auto"/>
              <w:bottom w:val="single" w:sz="4" w:space="0" w:color="auto"/>
              <w:right w:val="single" w:sz="4" w:space="0" w:color="auto"/>
            </w:tcBorders>
            <w:shd w:val="clear" w:color="auto" w:fill="auto"/>
            <w:vAlign w:val="bottom"/>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Les zones agro écologiques sensibles aux effets de serre et les services écosystémiques des écosystèmes transfrontaliers identifiés entre les trois pays</w:t>
            </w: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Caractériser les écosystèmes communs aux trois pays</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00"/>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Etudier les services éco systémiques de ces écosystèmes</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450"/>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Mettre en évidence des relations entre les écosystèmes et les populations</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00"/>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single" w:sz="4" w:space="0" w:color="auto"/>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Evaluer la dépendance écologique des ménages de ces écosystèmes</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00"/>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single" w:sz="4" w:space="0" w:color="auto"/>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Proposer des projets de gestion durable des écosystèmes</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00"/>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Inventaire des gaz à effet de serre</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171"/>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Etablir un Centre d’Echange fonctionnel</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708"/>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 xml:space="preserve">Définir et formaliser les rôles, responsabilités, et processus en terme de gestion et de rédaction du contenu du système de suivi régional de la REDD+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FFC00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315"/>
        </w:trPr>
        <w:tc>
          <w:tcPr>
            <w:tcW w:w="1500" w:type="dxa"/>
            <w:vMerge w:val="restart"/>
            <w:tcBorders>
              <w:top w:val="nil"/>
              <w:left w:val="single" w:sz="4" w:space="0" w:color="auto"/>
              <w:bottom w:val="single" w:sz="4" w:space="0" w:color="auto"/>
              <w:right w:val="single" w:sz="4" w:space="0" w:color="auto"/>
            </w:tcBorders>
            <w:shd w:val="clear" w:color="auto" w:fill="auto"/>
            <w:vAlign w:val="bottom"/>
            <w:hideMark/>
          </w:tcPr>
          <w:p w:rsidR="007326D7" w:rsidRPr="006D24FE" w:rsidRDefault="007326D7" w:rsidP="002172F0">
            <w:pPr>
              <w:spacing w:after="0" w:line="240" w:lineRule="auto"/>
              <w:jc w:val="center"/>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Gestion du projet</w:t>
            </w: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Gérer durablement le Projet</w:t>
            </w:r>
          </w:p>
        </w:tc>
        <w:tc>
          <w:tcPr>
            <w:tcW w:w="425"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497"/>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 xml:space="preserve">Identifier les sources de financement de la stratégie de REDD+ </w:t>
            </w:r>
            <w:r>
              <w:rPr>
                <w:rFonts w:ascii="Times New Roman" w:eastAsia="Times New Roman" w:hAnsi="Times New Roman"/>
                <w:color w:val="000000"/>
                <w:sz w:val="20"/>
                <w:szCs w:val="20"/>
                <w:lang w:eastAsia="fr-FR"/>
              </w:rPr>
              <w:t xml:space="preserve"> </w:t>
            </w:r>
            <w:r w:rsidRPr="006D24FE">
              <w:rPr>
                <w:rFonts w:ascii="Times New Roman" w:eastAsia="Times New Roman" w:hAnsi="Times New Roman"/>
                <w:color w:val="000000"/>
                <w:sz w:val="20"/>
                <w:szCs w:val="20"/>
                <w:lang w:eastAsia="fr-FR"/>
              </w:rPr>
              <w:t>pour chaque pays</w:t>
            </w:r>
            <w:r w:rsidRPr="006D24FE">
              <w:rPr>
                <w:rFonts w:ascii="Consolas" w:eastAsia="Times New Roman" w:hAnsi="Consolas" w:cs="Consolas"/>
                <w:color w:val="000000"/>
                <w:sz w:val="24"/>
                <w:szCs w:val="24"/>
                <w:lang w:eastAsia="fr-FR"/>
              </w:rPr>
              <w:t xml:space="preserve">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277"/>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Assurer l’audition annuelle du projet</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422"/>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 xml:space="preserve">Elaborer les rapports semestriels et annuels de suivi-évaluation du projet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231"/>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Assurer les évaluations annuelles du projet</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235"/>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Assurer le rapport d’achèvement du projet</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r w:rsidR="007326D7" w:rsidRPr="006D24FE" w:rsidTr="002172F0">
        <w:trPr>
          <w:trHeight w:val="253"/>
        </w:trPr>
        <w:tc>
          <w:tcPr>
            <w:tcW w:w="1500" w:type="dxa"/>
            <w:vMerge/>
            <w:tcBorders>
              <w:top w:val="nil"/>
              <w:left w:val="single" w:sz="4" w:space="0" w:color="auto"/>
              <w:bottom w:val="single" w:sz="4" w:space="0" w:color="auto"/>
              <w:right w:val="single" w:sz="4" w:space="0" w:color="auto"/>
            </w:tcBorders>
            <w:vAlign w:val="center"/>
            <w:hideMark/>
          </w:tcPr>
          <w:p w:rsidR="007326D7" w:rsidRPr="006D24FE" w:rsidRDefault="007326D7" w:rsidP="002172F0">
            <w:pPr>
              <w:spacing w:after="0" w:line="240" w:lineRule="auto"/>
              <w:rPr>
                <w:rFonts w:ascii="Times New Roman" w:eastAsia="Times New Roman" w:hAnsi="Times New Roman"/>
                <w:color w:val="000000"/>
                <w:sz w:val="20"/>
                <w:szCs w:val="20"/>
                <w:lang w:eastAsia="fr-FR"/>
              </w:rPr>
            </w:pPr>
          </w:p>
        </w:tc>
        <w:tc>
          <w:tcPr>
            <w:tcW w:w="5038" w:type="dxa"/>
            <w:tcBorders>
              <w:top w:val="nil"/>
              <w:left w:val="nil"/>
              <w:bottom w:val="single" w:sz="4" w:space="0" w:color="auto"/>
              <w:right w:val="single" w:sz="4" w:space="0" w:color="auto"/>
            </w:tcBorders>
            <w:shd w:val="clear" w:color="auto" w:fill="auto"/>
            <w:hideMark/>
          </w:tcPr>
          <w:p w:rsidR="007326D7" w:rsidRPr="006D24FE" w:rsidRDefault="007326D7" w:rsidP="002172F0">
            <w:pPr>
              <w:spacing w:after="0" w:line="240" w:lineRule="auto"/>
              <w:jc w:val="both"/>
              <w:rPr>
                <w:rFonts w:ascii="Times New Roman" w:eastAsia="Times New Roman" w:hAnsi="Times New Roman"/>
                <w:color w:val="000000"/>
                <w:sz w:val="20"/>
                <w:szCs w:val="20"/>
                <w:lang w:eastAsia="fr-FR"/>
              </w:rPr>
            </w:pPr>
            <w:r w:rsidRPr="006D24FE">
              <w:rPr>
                <w:rFonts w:ascii="Times New Roman" w:eastAsia="Times New Roman" w:hAnsi="Times New Roman"/>
                <w:color w:val="000000"/>
                <w:sz w:val="20"/>
                <w:szCs w:val="20"/>
                <w:lang w:eastAsia="fr-FR"/>
              </w:rPr>
              <w:t xml:space="preserve">Assurer les ateliers de lancement et de clôture du projet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425"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4" w:type="dxa"/>
            <w:tcBorders>
              <w:top w:val="nil"/>
              <w:left w:val="nil"/>
              <w:bottom w:val="single" w:sz="4" w:space="0" w:color="auto"/>
              <w:right w:val="single" w:sz="4" w:space="0" w:color="auto"/>
            </w:tcBorders>
            <w:shd w:val="clear" w:color="000000" w:fill="00B050"/>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c>
          <w:tcPr>
            <w:tcW w:w="283" w:type="dxa"/>
            <w:tcBorders>
              <w:top w:val="nil"/>
              <w:left w:val="nil"/>
              <w:bottom w:val="single" w:sz="4" w:space="0" w:color="auto"/>
              <w:right w:val="single" w:sz="4" w:space="0" w:color="auto"/>
            </w:tcBorders>
            <w:shd w:val="clear" w:color="auto" w:fill="auto"/>
            <w:noWrap/>
            <w:vAlign w:val="bottom"/>
            <w:hideMark/>
          </w:tcPr>
          <w:p w:rsidR="007326D7" w:rsidRPr="006D24FE" w:rsidRDefault="007326D7" w:rsidP="002172F0">
            <w:pPr>
              <w:spacing w:after="0" w:line="240" w:lineRule="auto"/>
              <w:rPr>
                <w:rFonts w:eastAsia="Times New Roman"/>
                <w:color w:val="000000"/>
                <w:lang w:eastAsia="fr-FR"/>
              </w:rPr>
            </w:pPr>
            <w:r w:rsidRPr="006D24FE">
              <w:rPr>
                <w:rFonts w:eastAsia="Times New Roman"/>
                <w:color w:val="000000"/>
                <w:lang w:eastAsia="fr-FR"/>
              </w:rPr>
              <w:t> </w:t>
            </w:r>
          </w:p>
        </w:tc>
      </w:tr>
    </w:tbl>
    <w:p w:rsidR="007326D7" w:rsidRDefault="007326D7" w:rsidP="007326D7"/>
    <w:p w:rsidR="007326D7" w:rsidRDefault="007326D7" w:rsidP="007326D7"/>
    <w:p w:rsidR="007326D7" w:rsidRDefault="007326D7" w:rsidP="007326D7"/>
    <w:p w:rsidR="007326D7" w:rsidRDefault="007326D7" w:rsidP="007326D7"/>
    <w:p w:rsidR="007326D7" w:rsidRDefault="007326D7" w:rsidP="007326D7"/>
    <w:p w:rsidR="007326D7" w:rsidRDefault="007326D7" w:rsidP="007326D7"/>
    <w:p w:rsidR="007326D7" w:rsidRDefault="007326D7" w:rsidP="007326D7"/>
    <w:p w:rsidR="007326D7" w:rsidRDefault="007326D7" w:rsidP="007326D7"/>
    <w:p w:rsidR="007326D7" w:rsidRDefault="007326D7" w:rsidP="007326D7"/>
    <w:p w:rsidR="007326D7" w:rsidRPr="0038468E" w:rsidRDefault="007326D7" w:rsidP="0038468E">
      <w:pPr>
        <w:jc w:val="center"/>
        <w:rPr>
          <w:b/>
        </w:rPr>
      </w:pPr>
      <w:r w:rsidRPr="00B000F3">
        <w:rPr>
          <w:b/>
        </w:rPr>
        <w:t>Budget  du  Projet pour les trois  pour une durée de quarante (40) mois</w:t>
      </w:r>
    </w:p>
    <w:tbl>
      <w:tblPr>
        <w:tblW w:w="923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4"/>
        <w:gridCol w:w="1559"/>
        <w:gridCol w:w="2268"/>
      </w:tblGrid>
      <w:tr w:rsidR="0038468E" w:rsidRPr="00BC4E43" w:rsidTr="002172F0">
        <w:trPr>
          <w:trHeight w:val="304"/>
        </w:trPr>
        <w:tc>
          <w:tcPr>
            <w:tcW w:w="5404" w:type="dxa"/>
            <w:shd w:val="clear" w:color="auto" w:fill="auto"/>
            <w:hideMark/>
          </w:tcPr>
          <w:p w:rsidR="0038468E" w:rsidRPr="00BC4E43" w:rsidRDefault="0038468E" w:rsidP="002172F0">
            <w:pPr>
              <w:spacing w:after="0" w:line="240" w:lineRule="auto"/>
              <w:rPr>
                <w:rFonts w:ascii="Times New Roman" w:eastAsia="Times New Roman" w:hAnsi="Times New Roman"/>
                <w:color w:val="000000"/>
                <w:sz w:val="20"/>
                <w:szCs w:val="20"/>
                <w:lang w:eastAsia="fr-FR"/>
              </w:rPr>
            </w:pPr>
            <w:r>
              <w:rPr>
                <w:rFonts w:ascii="Times New Roman" w:eastAsia="Times New Roman" w:hAnsi="Times New Roman"/>
                <w:color w:val="000000"/>
                <w:sz w:val="20"/>
                <w:szCs w:val="20"/>
                <w:lang w:eastAsia="fr-FR"/>
              </w:rPr>
              <w:t>Activités</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 xml:space="preserve">Unité  </w:t>
            </w:r>
          </w:p>
        </w:tc>
        <w:tc>
          <w:tcPr>
            <w:tcW w:w="2268" w:type="dxa"/>
            <w:shd w:val="clear" w:color="auto" w:fill="auto"/>
            <w:noWrap/>
            <w:vAlign w:val="bottom"/>
            <w:hideMark/>
          </w:tcPr>
          <w:p w:rsidR="0038468E" w:rsidRPr="00BC4E43" w:rsidRDefault="0038468E" w:rsidP="002172F0">
            <w:pPr>
              <w:spacing w:after="0" w:line="240" w:lineRule="auto"/>
              <w:jc w:val="both"/>
              <w:rPr>
                <w:rFonts w:eastAsia="Times New Roman"/>
                <w:color w:val="000000"/>
                <w:lang w:eastAsia="fr-FR"/>
              </w:rPr>
            </w:pPr>
            <w:r>
              <w:rPr>
                <w:rFonts w:eastAsia="Times New Roman"/>
                <w:color w:val="000000"/>
                <w:lang w:eastAsia="fr-FR"/>
              </w:rPr>
              <w:t>Montant total pour les trois ou par pays en FCFA</w:t>
            </w:r>
          </w:p>
        </w:tc>
      </w:tr>
      <w:tr w:rsidR="0038468E" w:rsidRPr="00BC4E43" w:rsidTr="002172F0">
        <w:trPr>
          <w:trHeight w:val="245"/>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 xml:space="preserve"> Faire le diagnostic des secteurs d’émission CO2</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30</w:t>
            </w:r>
            <w:r w:rsidR="0038468E" w:rsidRPr="00B000F3">
              <w:rPr>
                <w:color w:val="000000"/>
              </w:rPr>
              <w:t>000000</w:t>
            </w:r>
          </w:p>
        </w:tc>
      </w:tr>
      <w:tr w:rsidR="0038468E" w:rsidRPr="00BC4E43" w:rsidTr="002172F0">
        <w:trPr>
          <w:trHeight w:val="436"/>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Renforcer la formation, la communication, l’éducation et la sensibilisation</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30</w:t>
            </w:r>
            <w:r w:rsidRPr="00B000F3">
              <w:rPr>
                <w:color w:val="000000"/>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Elaborer une stratégie en matière de REDD+ pour la Bénin</w:t>
            </w:r>
          </w:p>
        </w:tc>
        <w:tc>
          <w:tcPr>
            <w:tcW w:w="1559" w:type="dxa"/>
          </w:tcPr>
          <w:p w:rsidR="0038468E" w:rsidRPr="00B000F3" w:rsidRDefault="0038468E" w:rsidP="002172F0">
            <w:pPr>
              <w:spacing w:after="0" w:line="240" w:lineRule="auto"/>
              <w:jc w:val="right"/>
              <w:rPr>
                <w:color w:val="000000"/>
              </w:rPr>
            </w:pPr>
            <w:r w:rsidRPr="00B000F3">
              <w:rPr>
                <w:color w:val="000000"/>
              </w:rPr>
              <w:t>1</w:t>
            </w:r>
          </w:p>
        </w:tc>
        <w:tc>
          <w:tcPr>
            <w:tcW w:w="2268" w:type="dxa"/>
            <w:shd w:val="clear" w:color="auto" w:fill="auto"/>
            <w:noWrap/>
            <w:vAlign w:val="bottom"/>
            <w:hideMark/>
          </w:tcPr>
          <w:p w:rsidR="0038468E" w:rsidRPr="00B000F3" w:rsidRDefault="0038468E" w:rsidP="00154F66">
            <w:pPr>
              <w:spacing w:after="0" w:line="240" w:lineRule="auto"/>
              <w:jc w:val="right"/>
              <w:rPr>
                <w:color w:val="000000"/>
              </w:rPr>
            </w:pPr>
            <w:r w:rsidRPr="00B000F3">
              <w:rPr>
                <w:color w:val="000000"/>
              </w:rPr>
              <w:t>1</w:t>
            </w:r>
            <w:r w:rsidR="00154F66">
              <w:rPr>
                <w:color w:val="000000"/>
              </w:rPr>
              <w:t>5</w:t>
            </w:r>
            <w:r w:rsidRPr="00B000F3">
              <w:rPr>
                <w:color w:val="000000"/>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Mobiliser les types d’acteurs pour adopter des attitudes d’adaptation aux changements climatiques</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10</w:t>
            </w:r>
            <w:r w:rsidR="0038468E" w:rsidRPr="00B000F3">
              <w:rPr>
                <w:color w:val="000000"/>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 xml:space="preserve">Améliorer le cadre institutionnel et réglementaire de gestion de la REDD+ dans les trois pays </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38468E" w:rsidP="00154F66">
            <w:pPr>
              <w:spacing w:after="0" w:line="240" w:lineRule="auto"/>
              <w:jc w:val="right"/>
              <w:rPr>
                <w:color w:val="000000"/>
              </w:rPr>
            </w:pPr>
            <w:r w:rsidRPr="00B000F3">
              <w:rPr>
                <w:color w:val="000000"/>
              </w:rPr>
              <w:t>1</w:t>
            </w:r>
            <w:r w:rsidR="00154F66">
              <w:rPr>
                <w:color w:val="000000"/>
              </w:rPr>
              <w:t>5</w:t>
            </w:r>
            <w:r w:rsidRPr="00B000F3">
              <w:rPr>
                <w:color w:val="000000"/>
              </w:rPr>
              <w:t>000000</w:t>
            </w:r>
          </w:p>
        </w:tc>
      </w:tr>
      <w:tr w:rsidR="0038468E" w:rsidRPr="00BC4E43" w:rsidTr="002172F0">
        <w:trPr>
          <w:trHeight w:val="304"/>
        </w:trPr>
        <w:tc>
          <w:tcPr>
            <w:tcW w:w="5404" w:type="dxa"/>
            <w:shd w:val="clear" w:color="auto" w:fill="auto"/>
            <w:hideMark/>
          </w:tcPr>
          <w:p w:rsidR="0038468E" w:rsidRPr="007701EB" w:rsidRDefault="0038468E" w:rsidP="002172F0">
            <w:pPr>
              <w:spacing w:after="0" w:line="240" w:lineRule="auto"/>
              <w:rPr>
                <w:rFonts w:ascii="Times New Roman" w:eastAsia="Times New Roman" w:hAnsi="Times New Roman"/>
                <w:b/>
                <w:color w:val="000000"/>
                <w:sz w:val="20"/>
                <w:szCs w:val="20"/>
                <w:highlight w:val="yellow"/>
                <w:lang w:eastAsia="fr-FR"/>
              </w:rPr>
            </w:pPr>
            <w:r w:rsidRPr="007701EB">
              <w:rPr>
                <w:rFonts w:ascii="Times New Roman" w:eastAsia="Times New Roman" w:hAnsi="Times New Roman"/>
                <w:b/>
                <w:color w:val="000000"/>
                <w:sz w:val="20"/>
                <w:szCs w:val="20"/>
                <w:highlight w:val="yellow"/>
                <w:lang w:eastAsia="fr-FR"/>
              </w:rPr>
              <w:t xml:space="preserve">Total composante 2 </w:t>
            </w:r>
          </w:p>
        </w:tc>
        <w:tc>
          <w:tcPr>
            <w:tcW w:w="1559" w:type="dxa"/>
          </w:tcPr>
          <w:p w:rsidR="0038468E" w:rsidRPr="007701EB" w:rsidRDefault="0038468E" w:rsidP="002172F0">
            <w:pPr>
              <w:spacing w:after="0" w:line="240" w:lineRule="auto"/>
              <w:jc w:val="right"/>
              <w:rPr>
                <w:b/>
                <w:color w:val="000000"/>
                <w:highlight w:val="yellow"/>
              </w:rPr>
            </w:pPr>
            <w:r w:rsidRPr="007701EB">
              <w:rPr>
                <w:b/>
                <w:color w:val="000000"/>
                <w:highlight w:val="yellow"/>
              </w:rPr>
              <w:t>3</w:t>
            </w:r>
          </w:p>
        </w:tc>
        <w:tc>
          <w:tcPr>
            <w:tcW w:w="2268" w:type="dxa"/>
            <w:shd w:val="clear" w:color="auto" w:fill="auto"/>
            <w:noWrap/>
            <w:vAlign w:val="bottom"/>
            <w:hideMark/>
          </w:tcPr>
          <w:p w:rsidR="0038468E" w:rsidRPr="007701EB" w:rsidRDefault="00154F66" w:rsidP="002172F0">
            <w:pPr>
              <w:spacing w:after="0" w:line="240" w:lineRule="auto"/>
              <w:jc w:val="right"/>
              <w:rPr>
                <w:b/>
                <w:color w:val="000000"/>
                <w:highlight w:val="yellow"/>
              </w:rPr>
            </w:pPr>
            <w:r>
              <w:rPr>
                <w:b/>
                <w:color w:val="000000"/>
                <w:highlight w:val="yellow"/>
              </w:rPr>
              <w:t>100</w:t>
            </w:r>
            <w:r w:rsidR="0038468E" w:rsidRPr="007701EB">
              <w:rPr>
                <w:b/>
                <w:color w:val="000000"/>
                <w:highlight w:val="yellow"/>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Elaborer  un système régional de surveillance des forêts pour constater les effets de la stratégie et la performance qui lui est imputable</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3</w:t>
            </w:r>
            <w:r w:rsidR="0038468E" w:rsidRPr="00B000F3">
              <w:rPr>
                <w:color w:val="000000"/>
              </w:rPr>
              <w:t>0000000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Caractériser les écosystèmes communs aux trois pays</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30</w:t>
            </w:r>
            <w:r w:rsidR="0038468E" w:rsidRPr="00B000F3">
              <w:rPr>
                <w:color w:val="000000"/>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Etudier les services éco systémiques de ces écosystèmes</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20</w:t>
            </w:r>
            <w:r w:rsidR="0038468E" w:rsidRPr="00B000F3">
              <w:rPr>
                <w:color w:val="000000"/>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Mettre en évidence des relations entre les écosystèmes et les populations</w:t>
            </w:r>
          </w:p>
        </w:tc>
        <w:tc>
          <w:tcPr>
            <w:tcW w:w="1559" w:type="dxa"/>
          </w:tcPr>
          <w:p w:rsidR="0038468E" w:rsidRPr="00B000F3" w:rsidRDefault="0038468E" w:rsidP="002172F0">
            <w:pPr>
              <w:spacing w:after="0" w:line="240" w:lineRule="auto"/>
              <w:jc w:val="right"/>
              <w:rPr>
                <w:color w:val="000000"/>
              </w:rPr>
            </w:pPr>
            <w:r w:rsidRPr="00B000F3">
              <w:rPr>
                <w:color w:val="000000"/>
              </w:rPr>
              <w:t>1</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10</w:t>
            </w:r>
            <w:r w:rsidR="0038468E" w:rsidRPr="00B000F3">
              <w:rPr>
                <w:color w:val="000000"/>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Evaluer la dépendance écologique des ménages de ces écosystèmes</w:t>
            </w:r>
          </w:p>
        </w:tc>
        <w:tc>
          <w:tcPr>
            <w:tcW w:w="1559" w:type="dxa"/>
          </w:tcPr>
          <w:p w:rsidR="0038468E" w:rsidRPr="00B000F3" w:rsidRDefault="0038468E" w:rsidP="002172F0">
            <w:pPr>
              <w:spacing w:after="0" w:line="240" w:lineRule="auto"/>
              <w:jc w:val="right"/>
              <w:rPr>
                <w:color w:val="000000"/>
              </w:rPr>
            </w:pPr>
            <w:r w:rsidRPr="00B000F3">
              <w:rPr>
                <w:color w:val="000000"/>
              </w:rPr>
              <w:t>1</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10</w:t>
            </w:r>
            <w:r w:rsidR="0038468E" w:rsidRPr="00B000F3">
              <w:rPr>
                <w:color w:val="000000"/>
              </w:rPr>
              <w:t>000000</w:t>
            </w:r>
          </w:p>
        </w:tc>
      </w:tr>
      <w:tr w:rsidR="0038468E" w:rsidRPr="00BC4E43" w:rsidTr="002172F0">
        <w:trPr>
          <w:trHeight w:val="304"/>
        </w:trPr>
        <w:tc>
          <w:tcPr>
            <w:tcW w:w="5404" w:type="dxa"/>
            <w:shd w:val="clear" w:color="auto" w:fill="auto"/>
            <w:vAlign w:val="center"/>
            <w:hideMark/>
          </w:tcPr>
          <w:p w:rsidR="0038468E" w:rsidRPr="00B000F3" w:rsidRDefault="0038468E" w:rsidP="002172F0">
            <w:pPr>
              <w:spacing w:after="0" w:line="240" w:lineRule="auto"/>
              <w:rPr>
                <w:color w:val="000000"/>
                <w:sz w:val="20"/>
                <w:szCs w:val="20"/>
              </w:rPr>
            </w:pPr>
            <w:r w:rsidRPr="00B000F3">
              <w:rPr>
                <w:color w:val="000000"/>
                <w:sz w:val="20"/>
                <w:szCs w:val="20"/>
              </w:rPr>
              <w:t xml:space="preserve">Etablir au niveau de la sous région au moyen de la cartographie les types d’écosystèmes avec des actions d’utilisations durables </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38468E" w:rsidP="00154F66">
            <w:pPr>
              <w:spacing w:after="0" w:line="240" w:lineRule="auto"/>
              <w:jc w:val="right"/>
              <w:rPr>
                <w:color w:val="000000"/>
              </w:rPr>
            </w:pPr>
            <w:r w:rsidRPr="00B000F3">
              <w:rPr>
                <w:color w:val="000000"/>
              </w:rPr>
              <w:t>1</w:t>
            </w:r>
            <w:r w:rsidR="00154F66">
              <w:rPr>
                <w:color w:val="000000"/>
              </w:rPr>
              <w:t>5</w:t>
            </w:r>
            <w:r w:rsidRPr="00B000F3">
              <w:rPr>
                <w:color w:val="000000"/>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jc w:val="both"/>
              <w:rPr>
                <w:color w:val="000000"/>
                <w:sz w:val="20"/>
                <w:szCs w:val="20"/>
              </w:rPr>
            </w:pPr>
            <w:r w:rsidRPr="00B000F3">
              <w:rPr>
                <w:color w:val="000000"/>
                <w:sz w:val="20"/>
                <w:szCs w:val="20"/>
              </w:rPr>
              <w:t>Proposer des projets de gestion durable des écosystèmes</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30</w:t>
            </w:r>
            <w:r w:rsidR="0038468E" w:rsidRPr="00B000F3">
              <w:rPr>
                <w:color w:val="000000"/>
              </w:rPr>
              <w:t>000000</w:t>
            </w:r>
          </w:p>
        </w:tc>
      </w:tr>
      <w:tr w:rsidR="0038468E" w:rsidRPr="00BC4E43" w:rsidTr="002172F0">
        <w:trPr>
          <w:trHeight w:val="304"/>
        </w:trPr>
        <w:tc>
          <w:tcPr>
            <w:tcW w:w="5404" w:type="dxa"/>
            <w:shd w:val="clear" w:color="auto" w:fill="auto"/>
            <w:vAlign w:val="center"/>
            <w:hideMark/>
          </w:tcPr>
          <w:p w:rsidR="0038468E" w:rsidRPr="00B000F3" w:rsidRDefault="0038468E" w:rsidP="002172F0">
            <w:pPr>
              <w:spacing w:after="0" w:line="240" w:lineRule="auto"/>
              <w:rPr>
                <w:color w:val="000000"/>
                <w:sz w:val="20"/>
                <w:szCs w:val="20"/>
              </w:rPr>
            </w:pPr>
            <w:r w:rsidRPr="00B000F3">
              <w:rPr>
                <w:color w:val="000000"/>
                <w:sz w:val="20"/>
                <w:szCs w:val="20"/>
              </w:rPr>
              <w:t>Capitalisation des acquis : publication et élaboration des quelques fiches techniques sur les services écosystèmiques</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38468E" w:rsidP="00154F66">
            <w:pPr>
              <w:spacing w:after="0" w:line="240" w:lineRule="auto"/>
              <w:jc w:val="right"/>
              <w:rPr>
                <w:color w:val="000000"/>
              </w:rPr>
            </w:pPr>
            <w:r w:rsidRPr="00B000F3">
              <w:rPr>
                <w:color w:val="000000"/>
              </w:rPr>
              <w:t>1</w:t>
            </w:r>
            <w:r w:rsidR="00154F66">
              <w:rPr>
                <w:color w:val="000000"/>
              </w:rPr>
              <w:t>5</w:t>
            </w:r>
            <w:r w:rsidRPr="00B000F3">
              <w:rPr>
                <w:color w:val="000000"/>
              </w:rPr>
              <w:t>000000</w:t>
            </w:r>
          </w:p>
        </w:tc>
      </w:tr>
      <w:tr w:rsidR="0038468E" w:rsidRPr="00BC4E43" w:rsidTr="002172F0">
        <w:trPr>
          <w:trHeight w:val="304"/>
        </w:trPr>
        <w:tc>
          <w:tcPr>
            <w:tcW w:w="5404" w:type="dxa"/>
            <w:shd w:val="clear" w:color="auto" w:fill="auto"/>
            <w:hideMark/>
          </w:tcPr>
          <w:p w:rsidR="0038468E" w:rsidRPr="00B000F3" w:rsidRDefault="0038468E" w:rsidP="002172F0">
            <w:pPr>
              <w:spacing w:after="0" w:line="240" w:lineRule="auto"/>
              <w:rPr>
                <w:color w:val="000000"/>
                <w:sz w:val="20"/>
                <w:szCs w:val="20"/>
              </w:rPr>
            </w:pPr>
            <w:r w:rsidRPr="00B000F3">
              <w:rPr>
                <w:color w:val="000000"/>
                <w:sz w:val="20"/>
                <w:szCs w:val="20"/>
              </w:rPr>
              <w:t>Inventaire des gaz à effet de serre</w:t>
            </w:r>
          </w:p>
        </w:tc>
        <w:tc>
          <w:tcPr>
            <w:tcW w:w="1559" w:type="dxa"/>
          </w:tcPr>
          <w:p w:rsidR="0038468E" w:rsidRPr="00B000F3" w:rsidRDefault="0038468E" w:rsidP="002172F0">
            <w:pPr>
              <w:spacing w:after="0" w:line="240" w:lineRule="auto"/>
              <w:jc w:val="right"/>
              <w:rPr>
                <w:color w:val="000000"/>
              </w:rPr>
            </w:pPr>
            <w:r w:rsidRPr="00B000F3">
              <w:rPr>
                <w:color w:val="000000"/>
              </w:rPr>
              <w:t>3</w:t>
            </w:r>
          </w:p>
        </w:tc>
        <w:tc>
          <w:tcPr>
            <w:tcW w:w="2268" w:type="dxa"/>
            <w:shd w:val="clear" w:color="auto" w:fill="auto"/>
            <w:noWrap/>
            <w:vAlign w:val="bottom"/>
            <w:hideMark/>
          </w:tcPr>
          <w:p w:rsidR="0038468E" w:rsidRPr="00B000F3" w:rsidRDefault="00154F66" w:rsidP="002172F0">
            <w:pPr>
              <w:spacing w:after="0" w:line="240" w:lineRule="auto"/>
              <w:jc w:val="right"/>
              <w:rPr>
                <w:color w:val="000000"/>
              </w:rPr>
            </w:pPr>
            <w:r>
              <w:rPr>
                <w:color w:val="000000"/>
              </w:rPr>
              <w:t>30</w:t>
            </w:r>
            <w:r w:rsidR="0038468E" w:rsidRPr="00B000F3">
              <w:rPr>
                <w:color w:val="000000"/>
              </w:rPr>
              <w:t>000000</w:t>
            </w:r>
          </w:p>
        </w:tc>
      </w:tr>
      <w:tr w:rsidR="0038468E" w:rsidRPr="0015107C" w:rsidTr="002172F0">
        <w:trPr>
          <w:trHeight w:val="304"/>
        </w:trPr>
        <w:tc>
          <w:tcPr>
            <w:tcW w:w="5404" w:type="dxa"/>
            <w:shd w:val="clear" w:color="auto" w:fill="auto"/>
            <w:hideMark/>
          </w:tcPr>
          <w:p w:rsidR="0038468E" w:rsidRPr="007701EB" w:rsidRDefault="0038468E" w:rsidP="002172F0">
            <w:pPr>
              <w:spacing w:after="0" w:line="240" w:lineRule="auto"/>
              <w:rPr>
                <w:rFonts w:ascii="Times New Roman" w:eastAsia="Times New Roman" w:hAnsi="Times New Roman"/>
                <w:b/>
                <w:color w:val="000000"/>
                <w:sz w:val="20"/>
                <w:szCs w:val="20"/>
                <w:highlight w:val="yellow"/>
                <w:lang w:eastAsia="fr-FR"/>
              </w:rPr>
            </w:pPr>
            <w:r w:rsidRPr="007701EB">
              <w:rPr>
                <w:rFonts w:ascii="Times New Roman" w:eastAsia="Times New Roman" w:hAnsi="Times New Roman"/>
                <w:b/>
                <w:color w:val="000000"/>
                <w:sz w:val="20"/>
                <w:szCs w:val="20"/>
                <w:highlight w:val="yellow"/>
                <w:lang w:eastAsia="fr-FR"/>
              </w:rPr>
              <w:t>Total composante 1</w:t>
            </w:r>
          </w:p>
        </w:tc>
        <w:tc>
          <w:tcPr>
            <w:tcW w:w="1559" w:type="dxa"/>
          </w:tcPr>
          <w:p w:rsidR="0038468E" w:rsidRPr="007701EB" w:rsidRDefault="0038468E" w:rsidP="002172F0">
            <w:pPr>
              <w:spacing w:after="0" w:line="240" w:lineRule="auto"/>
              <w:jc w:val="right"/>
              <w:rPr>
                <w:b/>
                <w:color w:val="000000"/>
                <w:highlight w:val="yellow"/>
              </w:rPr>
            </w:pPr>
          </w:p>
        </w:tc>
        <w:tc>
          <w:tcPr>
            <w:tcW w:w="2268" w:type="dxa"/>
            <w:shd w:val="clear" w:color="auto" w:fill="auto"/>
            <w:noWrap/>
            <w:vAlign w:val="bottom"/>
            <w:hideMark/>
          </w:tcPr>
          <w:p w:rsidR="0038468E" w:rsidRPr="0015107C" w:rsidRDefault="0038468E" w:rsidP="00154F66">
            <w:pPr>
              <w:spacing w:after="0" w:line="240" w:lineRule="auto"/>
              <w:jc w:val="right"/>
              <w:rPr>
                <w:b/>
                <w:color w:val="000000"/>
              </w:rPr>
            </w:pPr>
            <w:r w:rsidRPr="007701EB">
              <w:rPr>
                <w:b/>
                <w:color w:val="000000"/>
                <w:highlight w:val="yellow"/>
              </w:rPr>
              <w:t>1</w:t>
            </w:r>
            <w:r w:rsidR="00154F66">
              <w:rPr>
                <w:b/>
                <w:color w:val="000000"/>
                <w:highlight w:val="yellow"/>
              </w:rPr>
              <w:t>90</w:t>
            </w:r>
            <w:r w:rsidRPr="007701EB">
              <w:rPr>
                <w:b/>
                <w:color w:val="000000"/>
                <w:highlight w:val="yellow"/>
              </w:rPr>
              <w:t>000000</w:t>
            </w:r>
          </w:p>
        </w:tc>
      </w:tr>
      <w:tr w:rsidR="0038468E" w:rsidRPr="00BC4E43" w:rsidTr="002172F0">
        <w:trPr>
          <w:trHeight w:val="489"/>
        </w:trPr>
        <w:tc>
          <w:tcPr>
            <w:tcW w:w="5404" w:type="dxa"/>
            <w:shd w:val="clear" w:color="auto" w:fill="auto"/>
            <w:hideMark/>
          </w:tcPr>
          <w:p w:rsidR="0038468E" w:rsidRPr="00BC4E43" w:rsidRDefault="0038468E" w:rsidP="002172F0">
            <w:pPr>
              <w:spacing w:after="0" w:line="240" w:lineRule="auto"/>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Identifier les sources de financement de la stratégie de REDD+ pour chaque pays</w:t>
            </w:r>
            <w:r w:rsidRPr="00BC4E43">
              <w:rPr>
                <w:rFonts w:ascii="Consolas" w:eastAsia="Times New Roman" w:hAnsi="Consolas" w:cs="Consolas"/>
                <w:color w:val="000000"/>
                <w:sz w:val="24"/>
                <w:szCs w:val="24"/>
                <w:lang w:eastAsia="fr-FR"/>
              </w:rPr>
              <w:t xml:space="preserve"> </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3</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15000000</w:t>
            </w:r>
          </w:p>
        </w:tc>
      </w:tr>
      <w:tr w:rsidR="0038468E" w:rsidRPr="00BC4E43" w:rsidTr="002172F0">
        <w:trPr>
          <w:trHeight w:val="415"/>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Assurer l’audition annuelle du projet</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1</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6000000</w:t>
            </w:r>
          </w:p>
        </w:tc>
      </w:tr>
      <w:tr w:rsidR="0038468E" w:rsidRPr="00BC4E43" w:rsidTr="002172F0">
        <w:trPr>
          <w:trHeight w:val="418"/>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 xml:space="preserve">Elaborer les rapports semestriels et annuels de suivi-évaluation du projet </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1</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4000000</w:t>
            </w:r>
          </w:p>
        </w:tc>
      </w:tr>
      <w:tr w:rsidR="0038468E" w:rsidRPr="00BC4E43" w:rsidTr="002172F0">
        <w:trPr>
          <w:trHeight w:val="226"/>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Assurer les évaluations annuelles du projet</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1</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6000000</w:t>
            </w:r>
          </w:p>
        </w:tc>
      </w:tr>
      <w:tr w:rsidR="0038468E" w:rsidRPr="00BC4E43" w:rsidTr="002172F0">
        <w:trPr>
          <w:trHeight w:val="282"/>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Assurer le rapport d’achèvement du projet</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1</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6000000</w:t>
            </w:r>
          </w:p>
        </w:tc>
      </w:tr>
      <w:tr w:rsidR="0038468E" w:rsidRPr="00BC4E43" w:rsidTr="002172F0">
        <w:trPr>
          <w:trHeight w:val="273"/>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 xml:space="preserve">Assurer les ateliers de lancement et de clôture du projet </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3</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6000000</w:t>
            </w:r>
          </w:p>
        </w:tc>
      </w:tr>
      <w:tr w:rsidR="0038468E" w:rsidRPr="00BC4E43" w:rsidTr="002172F0">
        <w:trPr>
          <w:trHeight w:val="300"/>
        </w:trPr>
        <w:tc>
          <w:tcPr>
            <w:tcW w:w="5404" w:type="dxa"/>
            <w:shd w:val="clear" w:color="auto" w:fill="auto"/>
            <w:noWrap/>
            <w:vAlign w:val="bottom"/>
            <w:hideMark/>
          </w:tcPr>
          <w:p w:rsidR="0038468E" w:rsidRPr="00BC4E43" w:rsidRDefault="0038468E" w:rsidP="002172F0">
            <w:pPr>
              <w:spacing w:after="0" w:line="240" w:lineRule="auto"/>
              <w:rPr>
                <w:rFonts w:eastAsia="Times New Roman"/>
                <w:color w:val="000000"/>
                <w:lang w:eastAsia="fr-FR"/>
              </w:rPr>
            </w:pPr>
            <w:r>
              <w:rPr>
                <w:rFonts w:eastAsia="Times New Roman"/>
                <w:color w:val="000000"/>
                <w:lang w:eastAsia="fr-FR"/>
              </w:rPr>
              <w:t xml:space="preserve">Gestion du personnel </w:t>
            </w:r>
          </w:p>
        </w:tc>
        <w:tc>
          <w:tcPr>
            <w:tcW w:w="1559" w:type="dxa"/>
          </w:tcPr>
          <w:p w:rsidR="0038468E" w:rsidRPr="00BC4E43" w:rsidRDefault="0038468E" w:rsidP="002172F0">
            <w:pPr>
              <w:spacing w:after="0" w:line="240" w:lineRule="auto"/>
              <w:rPr>
                <w:rFonts w:eastAsia="Times New Roman"/>
                <w:color w:val="000000"/>
                <w:lang w:eastAsia="fr-FR"/>
              </w:rPr>
            </w:pPr>
            <w:r>
              <w:rPr>
                <w:rFonts w:eastAsia="Times New Roman"/>
                <w:color w:val="000000"/>
                <w:lang w:eastAsia="fr-FR"/>
              </w:rPr>
              <w:t>1</w:t>
            </w:r>
          </w:p>
        </w:tc>
        <w:tc>
          <w:tcPr>
            <w:tcW w:w="2268" w:type="dxa"/>
            <w:shd w:val="clear" w:color="auto" w:fill="auto"/>
            <w:noWrap/>
            <w:vAlign w:val="bottom"/>
            <w:hideMark/>
          </w:tcPr>
          <w:p w:rsidR="0038468E" w:rsidRPr="00BC4E43" w:rsidRDefault="0038468E" w:rsidP="002172F0">
            <w:pPr>
              <w:spacing w:after="0" w:line="240" w:lineRule="auto"/>
              <w:rPr>
                <w:rFonts w:eastAsia="Times New Roman"/>
                <w:color w:val="000000"/>
                <w:lang w:eastAsia="fr-FR"/>
              </w:rPr>
            </w:pPr>
          </w:p>
        </w:tc>
      </w:tr>
      <w:tr w:rsidR="0038468E" w:rsidRPr="00BC4E43" w:rsidTr="002172F0">
        <w:trPr>
          <w:trHeight w:val="300"/>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C</w:t>
            </w:r>
            <w:r>
              <w:rPr>
                <w:rFonts w:ascii="Times New Roman" w:eastAsia="Times New Roman" w:hAnsi="Times New Roman"/>
                <w:color w:val="000000"/>
                <w:sz w:val="20"/>
                <w:szCs w:val="20"/>
                <w:lang w:eastAsia="fr-FR"/>
              </w:rPr>
              <w:t xml:space="preserve">oordonnateur du </w:t>
            </w:r>
            <w:r w:rsidRPr="00BC4E43">
              <w:rPr>
                <w:rFonts w:ascii="Times New Roman" w:eastAsia="Times New Roman" w:hAnsi="Times New Roman"/>
                <w:color w:val="000000"/>
                <w:sz w:val="20"/>
                <w:szCs w:val="20"/>
                <w:lang w:eastAsia="fr-FR"/>
              </w:rPr>
              <w:t>P</w:t>
            </w:r>
            <w:r>
              <w:rPr>
                <w:rFonts w:ascii="Times New Roman" w:eastAsia="Times New Roman" w:hAnsi="Times New Roman"/>
                <w:color w:val="000000"/>
                <w:sz w:val="20"/>
                <w:szCs w:val="20"/>
                <w:lang w:eastAsia="fr-FR"/>
              </w:rPr>
              <w:t>rojet</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1</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21600000</w:t>
            </w:r>
          </w:p>
        </w:tc>
      </w:tr>
      <w:tr w:rsidR="0038468E" w:rsidRPr="00BC4E43" w:rsidTr="002172F0">
        <w:trPr>
          <w:trHeight w:val="228"/>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 xml:space="preserve">chargé de composantes </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3</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43200000</w:t>
            </w:r>
          </w:p>
        </w:tc>
      </w:tr>
      <w:tr w:rsidR="0038468E" w:rsidRPr="00BC4E43" w:rsidTr="002172F0">
        <w:trPr>
          <w:trHeight w:val="218"/>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 xml:space="preserve">location véhicule </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3</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4500000</w:t>
            </w:r>
          </w:p>
        </w:tc>
      </w:tr>
      <w:tr w:rsidR="0038468E" w:rsidRPr="00BC4E43" w:rsidTr="002172F0">
        <w:trPr>
          <w:trHeight w:val="378"/>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 xml:space="preserve">Acquisition de 6 ordinateurs de tables </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3</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1800000</w:t>
            </w:r>
          </w:p>
        </w:tc>
      </w:tr>
      <w:tr w:rsidR="0038468E" w:rsidRPr="00BC4E43" w:rsidTr="002172F0">
        <w:trPr>
          <w:trHeight w:val="256"/>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 xml:space="preserve">Acquisition de 6 ordinateurs portables </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3</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1800000</w:t>
            </w:r>
          </w:p>
        </w:tc>
      </w:tr>
      <w:tr w:rsidR="0038468E" w:rsidRPr="00BC4E43" w:rsidTr="002172F0">
        <w:trPr>
          <w:trHeight w:val="274"/>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sidRPr="00BC4E43">
              <w:rPr>
                <w:rFonts w:ascii="Times New Roman" w:eastAsia="Times New Roman" w:hAnsi="Times New Roman"/>
                <w:color w:val="000000"/>
                <w:sz w:val="20"/>
                <w:szCs w:val="20"/>
                <w:lang w:eastAsia="fr-FR"/>
              </w:rPr>
              <w:t>Acquisition de 3 trois appareils rétroprojecteurs avec écran</w:t>
            </w:r>
          </w:p>
        </w:tc>
        <w:tc>
          <w:tcPr>
            <w:tcW w:w="1559" w:type="dxa"/>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3</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sidRPr="00BC4E43">
              <w:rPr>
                <w:rFonts w:eastAsia="Times New Roman"/>
                <w:color w:val="000000"/>
                <w:lang w:eastAsia="fr-FR"/>
              </w:rPr>
              <w:t>1200000</w:t>
            </w:r>
          </w:p>
        </w:tc>
      </w:tr>
      <w:tr w:rsidR="0038468E" w:rsidRPr="00BC4E43" w:rsidTr="002172F0">
        <w:trPr>
          <w:trHeight w:val="274"/>
        </w:trPr>
        <w:tc>
          <w:tcPr>
            <w:tcW w:w="5404" w:type="dxa"/>
            <w:shd w:val="clear" w:color="auto" w:fill="auto"/>
            <w:hideMark/>
          </w:tcPr>
          <w:p w:rsidR="0038468E" w:rsidRPr="00BC4E43" w:rsidRDefault="0038468E" w:rsidP="002172F0">
            <w:pPr>
              <w:spacing w:after="0" w:line="240" w:lineRule="auto"/>
              <w:jc w:val="both"/>
              <w:rPr>
                <w:rFonts w:ascii="Times New Roman" w:eastAsia="Times New Roman" w:hAnsi="Times New Roman"/>
                <w:color w:val="000000"/>
                <w:sz w:val="20"/>
                <w:szCs w:val="20"/>
                <w:lang w:eastAsia="fr-FR"/>
              </w:rPr>
            </w:pPr>
            <w:r>
              <w:rPr>
                <w:rFonts w:ascii="Times New Roman" w:eastAsia="Times New Roman" w:hAnsi="Times New Roman"/>
                <w:color w:val="000000"/>
                <w:sz w:val="20"/>
                <w:szCs w:val="20"/>
                <w:lang w:eastAsia="fr-FR"/>
              </w:rPr>
              <w:t xml:space="preserve">Entretien des bureaux </w:t>
            </w:r>
          </w:p>
        </w:tc>
        <w:tc>
          <w:tcPr>
            <w:tcW w:w="1559" w:type="dxa"/>
          </w:tcPr>
          <w:p w:rsidR="0038468E" w:rsidRDefault="0038468E" w:rsidP="002172F0">
            <w:pPr>
              <w:spacing w:after="0" w:line="240" w:lineRule="auto"/>
              <w:jc w:val="right"/>
              <w:rPr>
                <w:rFonts w:eastAsia="Times New Roman"/>
                <w:color w:val="000000"/>
                <w:lang w:eastAsia="fr-FR"/>
              </w:rPr>
            </w:pPr>
            <w:r>
              <w:rPr>
                <w:rFonts w:eastAsia="Times New Roman"/>
                <w:color w:val="000000"/>
                <w:lang w:eastAsia="fr-FR"/>
              </w:rPr>
              <w:t>3</w:t>
            </w:r>
          </w:p>
        </w:tc>
        <w:tc>
          <w:tcPr>
            <w:tcW w:w="2268" w:type="dxa"/>
            <w:shd w:val="clear" w:color="auto" w:fill="auto"/>
            <w:noWrap/>
            <w:vAlign w:val="bottom"/>
            <w:hideMark/>
          </w:tcPr>
          <w:p w:rsidR="0038468E" w:rsidRPr="00BC4E43" w:rsidRDefault="0038468E" w:rsidP="002172F0">
            <w:pPr>
              <w:spacing w:after="0" w:line="240" w:lineRule="auto"/>
              <w:jc w:val="right"/>
              <w:rPr>
                <w:rFonts w:eastAsia="Times New Roman"/>
                <w:color w:val="000000"/>
                <w:lang w:eastAsia="fr-FR"/>
              </w:rPr>
            </w:pPr>
            <w:r>
              <w:rPr>
                <w:rFonts w:eastAsia="Times New Roman"/>
                <w:color w:val="000000"/>
                <w:lang w:eastAsia="fr-FR"/>
              </w:rPr>
              <w:t>6000000</w:t>
            </w:r>
          </w:p>
        </w:tc>
      </w:tr>
      <w:tr w:rsidR="0038468E" w:rsidRPr="00AB7128" w:rsidTr="002172F0">
        <w:trPr>
          <w:trHeight w:val="248"/>
        </w:trPr>
        <w:tc>
          <w:tcPr>
            <w:tcW w:w="5404" w:type="dxa"/>
            <w:shd w:val="clear" w:color="auto" w:fill="auto"/>
            <w:hideMark/>
          </w:tcPr>
          <w:p w:rsidR="0038468E" w:rsidRPr="007701EB" w:rsidRDefault="0038468E" w:rsidP="002172F0">
            <w:pPr>
              <w:spacing w:after="0" w:line="240" w:lineRule="auto"/>
              <w:jc w:val="both"/>
              <w:rPr>
                <w:rFonts w:ascii="Times New Roman" w:eastAsia="Times New Roman" w:hAnsi="Times New Roman"/>
                <w:b/>
                <w:color w:val="000000"/>
                <w:sz w:val="20"/>
                <w:szCs w:val="20"/>
                <w:highlight w:val="yellow"/>
                <w:lang w:eastAsia="fr-FR"/>
              </w:rPr>
            </w:pPr>
            <w:r w:rsidRPr="007701EB">
              <w:rPr>
                <w:rFonts w:ascii="Times New Roman" w:eastAsia="Times New Roman" w:hAnsi="Times New Roman"/>
                <w:b/>
                <w:color w:val="000000"/>
                <w:sz w:val="20"/>
                <w:szCs w:val="20"/>
                <w:highlight w:val="yellow"/>
                <w:lang w:eastAsia="fr-FR"/>
              </w:rPr>
              <w:t xml:space="preserve">Total Composante 3 </w:t>
            </w:r>
          </w:p>
        </w:tc>
        <w:tc>
          <w:tcPr>
            <w:tcW w:w="1559" w:type="dxa"/>
          </w:tcPr>
          <w:p w:rsidR="0038468E" w:rsidRPr="007701EB" w:rsidRDefault="0038468E" w:rsidP="002172F0">
            <w:pPr>
              <w:spacing w:after="0" w:line="240" w:lineRule="auto"/>
              <w:jc w:val="right"/>
              <w:rPr>
                <w:rFonts w:eastAsia="Times New Roman"/>
                <w:b/>
                <w:color w:val="000000"/>
                <w:highlight w:val="yellow"/>
                <w:lang w:eastAsia="fr-FR"/>
              </w:rPr>
            </w:pPr>
          </w:p>
        </w:tc>
        <w:tc>
          <w:tcPr>
            <w:tcW w:w="2268" w:type="dxa"/>
            <w:shd w:val="clear" w:color="auto" w:fill="auto"/>
            <w:noWrap/>
            <w:vAlign w:val="bottom"/>
            <w:hideMark/>
          </w:tcPr>
          <w:p w:rsidR="0038468E" w:rsidRPr="00AB7128" w:rsidRDefault="0038468E" w:rsidP="002172F0">
            <w:pPr>
              <w:spacing w:after="0" w:line="240" w:lineRule="auto"/>
              <w:jc w:val="right"/>
              <w:rPr>
                <w:b/>
                <w:color w:val="000000"/>
              </w:rPr>
            </w:pPr>
            <w:r w:rsidRPr="007701EB">
              <w:rPr>
                <w:b/>
                <w:color w:val="000000"/>
                <w:highlight w:val="yellow"/>
              </w:rPr>
              <w:t>123100000</w:t>
            </w:r>
          </w:p>
        </w:tc>
      </w:tr>
      <w:tr w:rsidR="0038468E" w:rsidRPr="0015107C" w:rsidTr="002172F0">
        <w:trPr>
          <w:trHeight w:val="430"/>
        </w:trPr>
        <w:tc>
          <w:tcPr>
            <w:tcW w:w="5404" w:type="dxa"/>
            <w:shd w:val="clear" w:color="auto" w:fill="auto"/>
            <w:hideMark/>
          </w:tcPr>
          <w:p w:rsidR="0038468E" w:rsidRPr="007701EB" w:rsidRDefault="0038468E" w:rsidP="002172F0">
            <w:pPr>
              <w:spacing w:after="0" w:line="240" w:lineRule="auto"/>
              <w:jc w:val="both"/>
              <w:rPr>
                <w:rFonts w:ascii="Times New Roman" w:eastAsia="Times New Roman" w:hAnsi="Times New Roman"/>
                <w:b/>
                <w:color w:val="000000"/>
                <w:sz w:val="20"/>
                <w:szCs w:val="20"/>
                <w:highlight w:val="yellow"/>
                <w:lang w:eastAsia="fr-FR"/>
              </w:rPr>
            </w:pPr>
            <w:r w:rsidRPr="007701EB">
              <w:rPr>
                <w:rFonts w:ascii="Times New Roman" w:eastAsia="Times New Roman" w:hAnsi="Times New Roman"/>
                <w:b/>
                <w:color w:val="000000"/>
                <w:sz w:val="20"/>
                <w:szCs w:val="20"/>
                <w:highlight w:val="yellow"/>
                <w:lang w:eastAsia="fr-FR"/>
              </w:rPr>
              <w:t xml:space="preserve">TOTAL GENERAL  DES COUTS DU PROJET POUR LES 3 PAYS  </w:t>
            </w:r>
          </w:p>
        </w:tc>
        <w:tc>
          <w:tcPr>
            <w:tcW w:w="1559" w:type="dxa"/>
          </w:tcPr>
          <w:p w:rsidR="0038468E" w:rsidRPr="007701EB" w:rsidRDefault="0038468E" w:rsidP="002172F0">
            <w:pPr>
              <w:spacing w:after="0" w:line="240" w:lineRule="auto"/>
              <w:jc w:val="right"/>
              <w:rPr>
                <w:b/>
                <w:color w:val="000000"/>
                <w:highlight w:val="yellow"/>
              </w:rPr>
            </w:pPr>
          </w:p>
        </w:tc>
        <w:tc>
          <w:tcPr>
            <w:tcW w:w="2268" w:type="dxa"/>
            <w:shd w:val="clear" w:color="auto" w:fill="auto"/>
            <w:noWrap/>
            <w:vAlign w:val="bottom"/>
            <w:hideMark/>
          </w:tcPr>
          <w:p w:rsidR="0038468E" w:rsidRPr="0015107C" w:rsidRDefault="00154F66" w:rsidP="0038468E">
            <w:pPr>
              <w:spacing w:after="0" w:line="240" w:lineRule="auto"/>
              <w:jc w:val="right"/>
              <w:rPr>
                <w:b/>
                <w:color w:val="000000"/>
              </w:rPr>
            </w:pPr>
            <w:r>
              <w:rPr>
                <w:b/>
                <w:color w:val="000000"/>
                <w:highlight w:val="yellow"/>
              </w:rPr>
              <w:t>413</w:t>
            </w:r>
            <w:r w:rsidR="0038468E" w:rsidRPr="007701EB">
              <w:rPr>
                <w:b/>
                <w:color w:val="000000"/>
                <w:highlight w:val="yellow"/>
              </w:rPr>
              <w:t xml:space="preserve"> 100 000</w:t>
            </w:r>
          </w:p>
        </w:tc>
      </w:tr>
    </w:tbl>
    <w:p w:rsidR="0038468E" w:rsidRDefault="0038468E" w:rsidP="007326D7">
      <w:pPr>
        <w:sectPr w:rsidR="0038468E" w:rsidSect="004D631E">
          <w:footerReference w:type="default" r:id="rId8"/>
          <w:pgSz w:w="11906" w:h="16838"/>
          <w:pgMar w:top="1417" w:right="1417" w:bottom="1417" w:left="1417" w:header="708" w:footer="708" w:gutter="0"/>
          <w:cols w:space="708"/>
          <w:docGrid w:linePitch="360"/>
        </w:sectPr>
      </w:pPr>
    </w:p>
    <w:p w:rsidR="004D631E" w:rsidRDefault="004D631E" w:rsidP="007326D7"/>
    <w:tbl>
      <w:tblPr>
        <w:tblW w:w="14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3559"/>
        <w:gridCol w:w="3559"/>
        <w:gridCol w:w="3561"/>
      </w:tblGrid>
      <w:tr w:rsidR="007326D7" w:rsidRPr="00B000F3" w:rsidTr="002172F0">
        <w:trPr>
          <w:trHeight w:val="232"/>
        </w:trPr>
        <w:tc>
          <w:tcPr>
            <w:tcW w:w="14237" w:type="dxa"/>
            <w:gridSpan w:val="4"/>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b/>
                <w:sz w:val="20"/>
                <w:szCs w:val="20"/>
                <w:u w:val="single"/>
              </w:rPr>
              <w:t>Titre du projet</w:t>
            </w:r>
            <w:r w:rsidRPr="00B000F3">
              <w:rPr>
                <w:rFonts w:ascii="Times New Roman" w:hAnsi="Times New Roman"/>
                <w:sz w:val="20"/>
                <w:szCs w:val="20"/>
              </w:rPr>
              <w:t xml:space="preserve"> : Projet de mise en œuvre de la stratégie de la REDD+ et de valorisation des écosystèmes transfrontaliers du Bénin, Togo et Burkina Faso en Afrique Occidentale </w:t>
            </w:r>
          </w:p>
        </w:tc>
      </w:tr>
      <w:tr w:rsidR="007326D7" w:rsidRPr="00B000F3" w:rsidTr="002172F0">
        <w:trPr>
          <w:trHeight w:val="232"/>
        </w:trPr>
        <w:tc>
          <w:tcPr>
            <w:tcW w:w="3558"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b/>
                <w:sz w:val="20"/>
                <w:szCs w:val="20"/>
              </w:rPr>
              <w:t>Objectifs</w:t>
            </w:r>
          </w:p>
        </w:tc>
        <w:tc>
          <w:tcPr>
            <w:tcW w:w="3559" w:type="dxa"/>
          </w:tcPr>
          <w:p w:rsidR="007326D7" w:rsidRPr="00B000F3" w:rsidRDefault="007326D7" w:rsidP="002172F0">
            <w:pPr>
              <w:autoSpaceDE w:val="0"/>
              <w:autoSpaceDN w:val="0"/>
              <w:adjustRightInd w:val="0"/>
              <w:spacing w:after="0" w:line="240" w:lineRule="auto"/>
              <w:jc w:val="both"/>
              <w:rPr>
                <w:rFonts w:ascii="Times New Roman" w:hAnsi="Times New Roman"/>
                <w:b/>
                <w:sz w:val="20"/>
                <w:szCs w:val="20"/>
              </w:rPr>
            </w:pPr>
            <w:r w:rsidRPr="00B000F3">
              <w:rPr>
                <w:rFonts w:ascii="Times New Roman" w:hAnsi="Times New Roman"/>
                <w:b/>
                <w:sz w:val="20"/>
                <w:szCs w:val="20"/>
              </w:rPr>
              <w:t>Activités</w:t>
            </w:r>
          </w:p>
        </w:tc>
        <w:tc>
          <w:tcPr>
            <w:tcW w:w="3559" w:type="dxa"/>
          </w:tcPr>
          <w:p w:rsidR="007326D7" w:rsidRPr="00B000F3" w:rsidRDefault="007326D7" w:rsidP="002172F0">
            <w:pPr>
              <w:autoSpaceDE w:val="0"/>
              <w:autoSpaceDN w:val="0"/>
              <w:adjustRightInd w:val="0"/>
              <w:spacing w:after="0" w:line="240" w:lineRule="auto"/>
              <w:jc w:val="both"/>
              <w:rPr>
                <w:rFonts w:ascii="Times New Roman" w:hAnsi="Times New Roman"/>
                <w:b/>
                <w:sz w:val="20"/>
                <w:szCs w:val="20"/>
              </w:rPr>
            </w:pPr>
            <w:r w:rsidRPr="00B000F3">
              <w:rPr>
                <w:rFonts w:ascii="Times New Roman" w:hAnsi="Times New Roman"/>
                <w:b/>
                <w:sz w:val="20"/>
                <w:szCs w:val="20"/>
              </w:rPr>
              <w:t>Résultats attendus</w:t>
            </w:r>
          </w:p>
        </w:tc>
        <w:tc>
          <w:tcPr>
            <w:tcW w:w="3561" w:type="dxa"/>
          </w:tcPr>
          <w:p w:rsidR="007326D7" w:rsidRPr="00B000F3" w:rsidRDefault="007326D7" w:rsidP="002172F0">
            <w:pPr>
              <w:autoSpaceDE w:val="0"/>
              <w:autoSpaceDN w:val="0"/>
              <w:adjustRightInd w:val="0"/>
              <w:spacing w:after="0" w:line="240" w:lineRule="auto"/>
              <w:jc w:val="both"/>
              <w:rPr>
                <w:rFonts w:ascii="Times New Roman" w:hAnsi="Times New Roman"/>
                <w:b/>
                <w:sz w:val="20"/>
                <w:szCs w:val="20"/>
              </w:rPr>
            </w:pPr>
            <w:r w:rsidRPr="00B000F3">
              <w:rPr>
                <w:rFonts w:ascii="Times New Roman" w:hAnsi="Times New Roman"/>
                <w:b/>
                <w:sz w:val="20"/>
                <w:szCs w:val="20"/>
              </w:rPr>
              <w:t>Indicateurs</w:t>
            </w:r>
          </w:p>
        </w:tc>
      </w:tr>
      <w:tr w:rsidR="007326D7" w:rsidRPr="00B000F3" w:rsidTr="002172F0">
        <w:trPr>
          <w:trHeight w:val="216"/>
        </w:trPr>
        <w:tc>
          <w:tcPr>
            <w:tcW w:w="14237" w:type="dxa"/>
            <w:gridSpan w:val="4"/>
          </w:tcPr>
          <w:p w:rsidR="007326D7" w:rsidRPr="00B000F3" w:rsidRDefault="007326D7" w:rsidP="002172F0">
            <w:pPr>
              <w:spacing w:after="0" w:line="240" w:lineRule="auto"/>
              <w:jc w:val="center"/>
              <w:rPr>
                <w:rFonts w:ascii="Times New Roman" w:hAnsi="Times New Roman"/>
                <w:b/>
                <w:sz w:val="24"/>
                <w:szCs w:val="24"/>
              </w:rPr>
            </w:pPr>
            <w:r w:rsidRPr="00B000F3">
              <w:rPr>
                <w:rFonts w:ascii="Times New Roman" w:hAnsi="Times New Roman"/>
                <w:b/>
                <w:sz w:val="20"/>
                <w:szCs w:val="20"/>
              </w:rPr>
              <w:t>Objectif Général : Assurer une gestion efficace et efficiente de la REDD+ en conformité avec ses objectifs d’Aichi au Bénin, Togo et au Burkina Faso</w:t>
            </w:r>
          </w:p>
        </w:tc>
      </w:tr>
      <w:tr w:rsidR="007326D7" w:rsidRPr="00B000F3" w:rsidTr="002172F0">
        <w:trPr>
          <w:trHeight w:val="216"/>
        </w:trPr>
        <w:tc>
          <w:tcPr>
            <w:tcW w:w="14237" w:type="dxa"/>
            <w:gridSpan w:val="4"/>
          </w:tcPr>
          <w:p w:rsidR="007326D7" w:rsidRPr="00B000F3" w:rsidRDefault="007326D7" w:rsidP="002172F0">
            <w:pPr>
              <w:spacing w:after="0" w:line="240" w:lineRule="auto"/>
              <w:jc w:val="center"/>
              <w:rPr>
                <w:rFonts w:ascii="Times New Roman" w:hAnsi="Times New Roman"/>
                <w:sz w:val="20"/>
                <w:szCs w:val="20"/>
              </w:rPr>
            </w:pPr>
            <w:r w:rsidRPr="00B000F3">
              <w:rPr>
                <w:rFonts w:ascii="Times New Roman" w:hAnsi="Times New Roman"/>
                <w:b/>
                <w:sz w:val="20"/>
                <w:szCs w:val="20"/>
              </w:rPr>
              <w:t>Composante 1</w:t>
            </w:r>
            <w:r w:rsidRPr="00B000F3">
              <w:rPr>
                <w:rFonts w:ascii="Times New Roman" w:hAnsi="Times New Roman"/>
                <w:sz w:val="20"/>
                <w:szCs w:val="20"/>
              </w:rPr>
              <w:t> : Elaboration des stratégies et harmonisation des actions des trois pays</w:t>
            </w:r>
          </w:p>
        </w:tc>
      </w:tr>
      <w:tr w:rsidR="007326D7" w:rsidRPr="00B000F3" w:rsidTr="002172F0">
        <w:trPr>
          <w:trHeight w:val="449"/>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Activité 1 Faire le diagnostic des secteurs d’émission CO2</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L’état des lieux du niveau d’émission de tous les secteurs disponible dans tous les trois pays</w:t>
            </w:r>
            <w:r w:rsidRPr="00B000F3">
              <w:rPr>
                <w:rFonts w:ascii="Arial" w:hAnsi="Arial" w:cs="Arial"/>
                <w:b/>
                <w:bCs/>
                <w:sz w:val="23"/>
                <w:szCs w:val="23"/>
              </w:rPr>
              <w:t xml:space="preserve"> </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Etat des lieux des trois pays</w:t>
            </w:r>
          </w:p>
        </w:tc>
      </w:tr>
      <w:tr w:rsidR="007326D7" w:rsidRPr="00B000F3" w:rsidTr="002172F0">
        <w:trPr>
          <w:trHeight w:val="449"/>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Activité 2 Renforcer la formation, la communication, l’éducation et la sensibilisation</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Mise en œuvre d’un plan de formation sur REDD+ dans les trois pays </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Nombre de personnes formées en matière de REDD+ dans les 3 pays</w:t>
            </w:r>
          </w:p>
        </w:tc>
      </w:tr>
      <w:tr w:rsidR="007326D7" w:rsidRPr="00B000F3" w:rsidTr="002172F0">
        <w:trPr>
          <w:trHeight w:val="449"/>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Activité 3  Mobiliser les types d’acteurs pour adopter des attitudes d’adaptation aux changements climatiques</w:t>
            </w:r>
          </w:p>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Les acteurs privés, publics, ONGs et la société civile mobilisés pour intégrer la REDD+ dans les comportements </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Le nombre d’acteurs par catégorie qui participent à la mise en œuvre de la stratégie sur la REDD+</w:t>
            </w:r>
          </w:p>
        </w:tc>
      </w:tr>
      <w:tr w:rsidR="007326D7" w:rsidRPr="00B000F3" w:rsidTr="002172F0">
        <w:trPr>
          <w:trHeight w:val="578"/>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Activité 4 Améliorer le cadre institutionnel et réglementaire de gestion de la REDD+ dans les trois pays </w:t>
            </w:r>
          </w:p>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cadre législatif et réglementaire, politique et économique</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578"/>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Elaborer  un système régional de surveillance des forêts pour constater les effets de la stratégie et la performance qui lui est imputable</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Disponibilité d’un système régional de surveillance des forêts pour constater les effets de la stratégie et la performance qui lui est imputable</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système régional de surveillance des forêts</w:t>
            </w:r>
          </w:p>
        </w:tc>
      </w:tr>
      <w:tr w:rsidR="007326D7" w:rsidRPr="00B000F3" w:rsidTr="002172F0">
        <w:trPr>
          <w:trHeight w:val="216"/>
        </w:trPr>
        <w:tc>
          <w:tcPr>
            <w:tcW w:w="14237" w:type="dxa"/>
            <w:gridSpan w:val="4"/>
          </w:tcPr>
          <w:p w:rsidR="007326D7" w:rsidRPr="00B000F3" w:rsidRDefault="007326D7" w:rsidP="002172F0">
            <w:pPr>
              <w:spacing w:after="0" w:line="240" w:lineRule="auto"/>
              <w:jc w:val="center"/>
              <w:rPr>
                <w:rFonts w:ascii="Times New Roman" w:hAnsi="Times New Roman"/>
                <w:sz w:val="20"/>
                <w:szCs w:val="20"/>
              </w:rPr>
            </w:pPr>
            <w:r w:rsidRPr="00B000F3">
              <w:rPr>
                <w:rFonts w:ascii="Times New Roman" w:hAnsi="Times New Roman"/>
                <w:sz w:val="20"/>
                <w:szCs w:val="20"/>
              </w:rPr>
              <w:t>Composante 2: Les zones agro écologiques sensibles aux effets de serre et les services écosystémiques des écosystèmes transfrontaliers identifiés entre les trois pays</w:t>
            </w:r>
          </w:p>
        </w:tc>
      </w:tr>
      <w:tr w:rsidR="007326D7" w:rsidRPr="00B000F3" w:rsidTr="002172F0">
        <w:trPr>
          <w:trHeight w:val="232"/>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Caractériser les écosystèmes communs aux trois pays</w:t>
            </w:r>
          </w:p>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Les écosystèmes sont caractérisés</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232"/>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Etudier les services éco systémiques de ces écosystèmes</w:t>
            </w:r>
          </w:p>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Les services éco systémiques de ces écosystèmes sont étudiés</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232"/>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Mettre en évidence des relations entre les écosystèmes et les populations</w:t>
            </w:r>
          </w:p>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Les relations entre les écosystèmes et les populations sont mises en évidence</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232"/>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Evaluer la dépendance écologique des ménages de ces écosystèmes</w:t>
            </w:r>
          </w:p>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Le niveau de dépendance écologique des ménages vis-à-vis des écosystèmes est évalué</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232"/>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Proposer des projets de gestion durable des écosystèmes</w:t>
            </w:r>
          </w:p>
          <w:p w:rsidR="007326D7" w:rsidRPr="00B000F3" w:rsidRDefault="007326D7" w:rsidP="002172F0">
            <w:pPr>
              <w:spacing w:after="0" w:line="240" w:lineRule="auto"/>
              <w:jc w:val="both"/>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Des projets de gestion durable des écosystèmes sont proposés</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232"/>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Inventaire des gaz à effet de serre</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Les gaz à effets de serre sont inventoriés</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La fiche d’inventaire des gaz à effets de serre est disponible</w:t>
            </w:r>
          </w:p>
        </w:tc>
      </w:tr>
      <w:tr w:rsidR="007326D7" w:rsidRPr="00B000F3" w:rsidTr="002172F0">
        <w:trPr>
          <w:trHeight w:val="232"/>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Etablir un Centre d’Echange fonctionnel</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Centre d’Echange fonctionnel</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Existence d’un système régional de suivi de la REDD+ </w:t>
            </w:r>
          </w:p>
        </w:tc>
      </w:tr>
      <w:tr w:rsidR="007326D7" w:rsidRPr="00B000F3" w:rsidTr="002172F0">
        <w:trPr>
          <w:trHeight w:val="734"/>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Définir et formaliser les rôles, responsabilités, et processus en terme de gestion et de rédaction du contenu du système de suivi régional de la REDD+ </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Mise en œuvre d’un manuel de suivi de la REDD+ dans les 3 pays </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Existence d’un comité directeur interinstitutionnel de suivi de la REDD+ entre les trois pays</w:t>
            </w:r>
          </w:p>
        </w:tc>
      </w:tr>
      <w:tr w:rsidR="007326D7" w:rsidRPr="00B000F3" w:rsidTr="002172F0">
        <w:trPr>
          <w:trHeight w:val="216"/>
        </w:trPr>
        <w:tc>
          <w:tcPr>
            <w:tcW w:w="14237" w:type="dxa"/>
            <w:gridSpan w:val="4"/>
          </w:tcPr>
          <w:p w:rsidR="007326D7" w:rsidRPr="00B000F3" w:rsidRDefault="007326D7" w:rsidP="002172F0">
            <w:pPr>
              <w:spacing w:after="0" w:line="240" w:lineRule="auto"/>
              <w:jc w:val="center"/>
              <w:rPr>
                <w:rFonts w:ascii="Times New Roman" w:hAnsi="Times New Roman"/>
                <w:sz w:val="20"/>
                <w:szCs w:val="20"/>
              </w:rPr>
            </w:pPr>
            <w:r w:rsidRPr="00B000F3">
              <w:rPr>
                <w:rFonts w:ascii="Times New Roman" w:hAnsi="Times New Roman"/>
                <w:b/>
                <w:sz w:val="20"/>
                <w:szCs w:val="20"/>
                <w:u w:val="single"/>
              </w:rPr>
              <w:t>Composante 3</w:t>
            </w:r>
            <w:r w:rsidRPr="00B000F3">
              <w:rPr>
                <w:rFonts w:ascii="Times New Roman" w:hAnsi="Times New Roman"/>
                <w:sz w:val="20"/>
                <w:szCs w:val="20"/>
              </w:rPr>
              <w:t> : Gestion du projet</w:t>
            </w:r>
          </w:p>
        </w:tc>
      </w:tr>
      <w:tr w:rsidR="007326D7" w:rsidRPr="00B000F3" w:rsidTr="002172F0">
        <w:trPr>
          <w:trHeight w:val="663"/>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Gérer durablement le Projet</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Les activités du projet sont exécutées, suivies et évaluées. La gestion du projet est auditée régulièrement</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lang w:eastAsia="fr-FR"/>
              </w:rPr>
              <w:t>% d'exécution des plans de travail annuel Système de suivi-évaluation</w:t>
            </w:r>
          </w:p>
        </w:tc>
      </w:tr>
      <w:tr w:rsidR="007326D7" w:rsidRPr="00B000F3" w:rsidTr="002172F0">
        <w:trPr>
          <w:trHeight w:val="450"/>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Identifier les sources de financement de la stratégie de REDD+ pour chaque pays</w:t>
            </w:r>
            <w:r w:rsidRPr="00B000F3">
              <w:rPr>
                <w:rFonts w:ascii="Consolas" w:hAnsi="Consolas" w:cs="Consolas"/>
                <w:bCs/>
                <w:sz w:val="24"/>
                <w:szCs w:val="24"/>
              </w:rPr>
              <w:t xml:space="preserve"> </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Disponibilité des sources de financement de la Stratégie de REDD+ pour chaque pays</w:t>
            </w:r>
          </w:p>
        </w:tc>
        <w:tc>
          <w:tcPr>
            <w:tcW w:w="3561" w:type="dxa"/>
          </w:tcPr>
          <w:p w:rsidR="007326D7" w:rsidRPr="00B000F3" w:rsidRDefault="007326D7" w:rsidP="002172F0">
            <w:pPr>
              <w:spacing w:after="0" w:line="240" w:lineRule="auto"/>
              <w:rPr>
                <w:rFonts w:ascii="Times New Roman" w:hAnsi="Times New Roman"/>
                <w:sz w:val="20"/>
                <w:szCs w:val="20"/>
                <w:lang w:eastAsia="fr-FR"/>
              </w:rPr>
            </w:pPr>
            <w:r w:rsidRPr="00B000F3">
              <w:rPr>
                <w:rFonts w:ascii="Times New Roman" w:hAnsi="Times New Roman"/>
                <w:sz w:val="20"/>
                <w:szCs w:val="20"/>
                <w:lang w:eastAsia="fr-FR"/>
              </w:rPr>
              <w:t>Sources de financement identifié pour la stratég</w:t>
            </w:r>
            <w:r>
              <w:rPr>
                <w:rFonts w:ascii="Times New Roman" w:hAnsi="Times New Roman"/>
                <w:sz w:val="20"/>
                <w:szCs w:val="20"/>
                <w:lang w:eastAsia="fr-FR"/>
              </w:rPr>
              <w:t>i</w:t>
            </w:r>
            <w:r w:rsidRPr="00B000F3">
              <w:rPr>
                <w:rFonts w:ascii="Times New Roman" w:hAnsi="Times New Roman"/>
                <w:sz w:val="20"/>
                <w:szCs w:val="20"/>
                <w:lang w:eastAsia="fr-FR"/>
              </w:rPr>
              <w:t>e de REDD+ de chaque pays</w:t>
            </w:r>
          </w:p>
        </w:tc>
      </w:tr>
      <w:tr w:rsidR="007326D7" w:rsidRPr="00B000F3" w:rsidTr="002172F0">
        <w:trPr>
          <w:trHeight w:val="449"/>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Assurer l’audition annuelle du projet</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audition annuelle du projet disponible </w:t>
            </w:r>
          </w:p>
        </w:tc>
        <w:tc>
          <w:tcPr>
            <w:tcW w:w="3561"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Rapport d’audition annuelle </w:t>
            </w:r>
          </w:p>
        </w:tc>
      </w:tr>
      <w:tr w:rsidR="007326D7" w:rsidRPr="00B000F3" w:rsidTr="002172F0">
        <w:trPr>
          <w:trHeight w:val="683"/>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 xml:space="preserve">Elaborer les rapports semestriels et annuels de suivi-évaluation du projet </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les rapports semestriels et annuels de suivi-évaluation du projet disponible</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449"/>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Assurer les évaluations annuelles du projet</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évaluations annuelles du projet</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449"/>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Assurer le rapport d’achèvement du projet</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rapport d’achèvement du projet disponible</w:t>
            </w:r>
          </w:p>
        </w:tc>
        <w:tc>
          <w:tcPr>
            <w:tcW w:w="3561" w:type="dxa"/>
          </w:tcPr>
          <w:p w:rsidR="007326D7" w:rsidRPr="00B000F3" w:rsidRDefault="007326D7" w:rsidP="002172F0">
            <w:pPr>
              <w:spacing w:after="0" w:line="240" w:lineRule="auto"/>
              <w:rPr>
                <w:rFonts w:ascii="Times New Roman" w:hAnsi="Times New Roman"/>
                <w:sz w:val="20"/>
                <w:szCs w:val="20"/>
              </w:rPr>
            </w:pPr>
          </w:p>
        </w:tc>
      </w:tr>
      <w:tr w:rsidR="007326D7" w:rsidRPr="00B000F3" w:rsidTr="002172F0">
        <w:trPr>
          <w:trHeight w:val="683"/>
        </w:trPr>
        <w:tc>
          <w:tcPr>
            <w:tcW w:w="3558" w:type="dxa"/>
          </w:tcPr>
          <w:p w:rsidR="007326D7" w:rsidRPr="00B000F3" w:rsidRDefault="007326D7" w:rsidP="002172F0">
            <w:pPr>
              <w:spacing w:after="0" w:line="240" w:lineRule="auto"/>
              <w:rPr>
                <w:rFonts w:ascii="Times New Roman" w:hAnsi="Times New Roman"/>
                <w:sz w:val="20"/>
                <w:szCs w:val="20"/>
              </w:rPr>
            </w:pPr>
          </w:p>
        </w:tc>
        <w:tc>
          <w:tcPr>
            <w:tcW w:w="3559" w:type="dxa"/>
          </w:tcPr>
          <w:p w:rsidR="007326D7" w:rsidRPr="00B000F3" w:rsidRDefault="007326D7" w:rsidP="002172F0">
            <w:pPr>
              <w:spacing w:after="0" w:line="240" w:lineRule="auto"/>
              <w:jc w:val="both"/>
              <w:rPr>
                <w:rFonts w:ascii="Times New Roman" w:hAnsi="Times New Roman"/>
                <w:sz w:val="20"/>
                <w:szCs w:val="20"/>
              </w:rPr>
            </w:pPr>
            <w:r w:rsidRPr="00B000F3">
              <w:rPr>
                <w:rFonts w:ascii="Times New Roman" w:hAnsi="Times New Roman"/>
                <w:sz w:val="20"/>
                <w:szCs w:val="20"/>
              </w:rPr>
              <w:t xml:space="preserve">Assurer les ateliers de lancement et de clôture du projet </w:t>
            </w:r>
          </w:p>
        </w:tc>
        <w:tc>
          <w:tcPr>
            <w:tcW w:w="3559" w:type="dxa"/>
          </w:tcPr>
          <w:p w:rsidR="007326D7" w:rsidRPr="00B000F3" w:rsidRDefault="007326D7" w:rsidP="002172F0">
            <w:pPr>
              <w:spacing w:after="0" w:line="240" w:lineRule="auto"/>
              <w:rPr>
                <w:rFonts w:ascii="Times New Roman" w:hAnsi="Times New Roman"/>
                <w:sz w:val="20"/>
                <w:szCs w:val="20"/>
              </w:rPr>
            </w:pPr>
            <w:r w:rsidRPr="00B000F3">
              <w:rPr>
                <w:rFonts w:ascii="Times New Roman" w:hAnsi="Times New Roman"/>
                <w:sz w:val="20"/>
                <w:szCs w:val="20"/>
              </w:rPr>
              <w:t xml:space="preserve">Rapports de lancement et de clôture disponible </w:t>
            </w:r>
          </w:p>
        </w:tc>
        <w:tc>
          <w:tcPr>
            <w:tcW w:w="3561" w:type="dxa"/>
          </w:tcPr>
          <w:p w:rsidR="007326D7" w:rsidRPr="00B000F3" w:rsidRDefault="007326D7" w:rsidP="002172F0">
            <w:pPr>
              <w:spacing w:after="0" w:line="240" w:lineRule="auto"/>
              <w:rPr>
                <w:rFonts w:ascii="Times New Roman" w:hAnsi="Times New Roman"/>
                <w:sz w:val="20"/>
                <w:szCs w:val="20"/>
              </w:rPr>
            </w:pPr>
          </w:p>
        </w:tc>
      </w:tr>
    </w:tbl>
    <w:p w:rsidR="007326D7" w:rsidRDefault="007326D7" w:rsidP="007326D7"/>
    <w:sectPr w:rsidR="007326D7" w:rsidSect="007326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2AD" w:rsidRDefault="000272AD" w:rsidP="007326D7">
      <w:pPr>
        <w:spacing w:after="0" w:line="240" w:lineRule="auto"/>
      </w:pPr>
      <w:r>
        <w:separator/>
      </w:r>
    </w:p>
  </w:endnote>
  <w:endnote w:type="continuationSeparator" w:id="0">
    <w:p w:rsidR="000272AD" w:rsidRDefault="000272AD" w:rsidP="00732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63506"/>
      <w:docPartObj>
        <w:docPartGallery w:val="Page Numbers (Bottom of Page)"/>
        <w:docPartUnique/>
      </w:docPartObj>
    </w:sdtPr>
    <w:sdtEndPr/>
    <w:sdtContent>
      <w:p w:rsidR="00154F66" w:rsidRDefault="00187944">
        <w:pPr>
          <w:pStyle w:val="Footer"/>
        </w:pPr>
        <w:r>
          <w:rPr>
            <w:noProof/>
            <w:lang w:val="en-US"/>
          </w:rPr>
          <mc:AlternateContent>
            <mc:Choice Requires="wps">
              <w:drawing>
                <wp:anchor distT="0" distB="0" distL="114300" distR="114300" simplePos="0" relativeHeight="251660288"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chemeClr val="tx1">
                                <a:lumMod val="50000"/>
                                <a:lumOff val="50000"/>
                              </a:schemeClr>
                            </a:solidFill>
                            <a:round/>
                            <a:headEnd/>
                            <a:tailEnd/>
                          </a:ln>
                        </wps:spPr>
                        <wps:txbx>
                          <w:txbxContent>
                            <w:p w:rsidR="00154F66" w:rsidRDefault="00187944">
                              <w:pPr>
                                <w:jc w:val="center"/>
                              </w:pPr>
                              <w:r>
                                <w:fldChar w:fldCharType="begin"/>
                              </w:r>
                              <w:r>
                                <w:instrText xml:space="preserve"> PAGE    \* MERGEFORMAT </w:instrText>
                              </w:r>
                              <w:r>
                                <w:fldChar w:fldCharType="separate"/>
                              </w:r>
                              <w:r w:rsidRPr="00187944">
                                <w:rPr>
                                  <w:noProof/>
                                  <w:sz w:val="16"/>
                                  <w:szCs w:val="16"/>
                                </w:rPr>
                                <w:t>1</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0;margin-top:0;width:29pt;height:21.6pt;z-index:251660288;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vyTQIAAKcEAAAOAAAAZHJzL2Uyb0RvYy54bWysVNtu2zAMfR+wfxD0vjjXtgviFEW6DgO6&#10;rUC3D1AkOdYmixqlxO6+fpTsZGn7NswPgiiSh5dDenXdNZYdNAYDruST0Zgz7SQo43Yl//7t7t0V&#10;ZyEKp4QFp0v+pAO/Xr99s2r9Uk+hBqs0MgJxYdn6ktcx+mVRBFnrRoQReO1IWQE2IpKIu0KhaAm9&#10;scV0PL4oWkDlEaQOgV5veyVfZ/yq0jJ+raqgI7Mlp9xiPjGf23QW65VY7lD42sghDfEPWTTCOAp6&#10;groVUbA9mldQjZEIAao4ktAUUFVG6lwDVTMZv6jmsRZe51qoOcGf2hT+H6z8cnhAZhRxx5kTDVF0&#10;s4+QI7NJak/rw5KsHv0DpgKDvwf5MzAHm1q4nb5BhLbWQlFS2b545pCEQK5s234GReiC0HOnugqb&#10;BEg9YF0m5OlEiO4ik/Q4u7iajYk2Sarp5Xw2zYQVYnl09hjiRw0NS5eSV2mc1AbQacxBxOE+xMyL&#10;GqoT6gdnVWOJ5YOwbDZfXBxBB2OCP8LmgsEadWeszQLuthuLjFxLfpe/1CNyCedm1rGWsp9cLnIW&#10;z3R5tPUJJHaTbGP3DTWoB16M6etHk55pgF88p3BpQRLK6+AIe6fyXCdaPgz3KIzt7+RtHbkdqekp&#10;jt22G9jegnoixhD6baHtpksN+Juzljal5OHXXqDmzH5yxPr7yXyeVisL88UlkcTwXLM91wgnCark&#10;kbP+uon9Ou49ml1Nkfp+OEhzWJmY2ptS7bMaBNqGXPiwuWndzuVs9ff/sv4DAAD//wMAUEsDBBQA&#10;BgAIAAAAIQDfo1hX2wAAAAMBAAAPAAAAZHJzL2Rvd25yZXYueG1sTI9La8MwEITvhfwHsYHeGrnp&#10;K3UthxAolEIOSXrpbWOtH8RaGUtx3P76bntJLwPDLDPfZsvRtWqgPjSeDdzOElDEhbcNVwY+9q83&#10;C1AhIltsPZOBLwqwzCdXGabWn3lLwy5WSko4pGigjrFLtQ5FTQ7DzHfEkpW+dxjF9pW2PZ6l3LV6&#10;niSP2mHDslBjR+uaiuPu5AzsuzJ5ev7evG/LT3/EJm6Gt8oacz0dVy+gIo3xcgy/+IIOuTAd/Ilt&#10;UK0BeST+qWQPC3EHA/d3c9B5pv+z5z8AAAD//wMAUEsBAi0AFAAGAAgAAAAhALaDOJL+AAAA4QEA&#10;ABMAAAAAAAAAAAAAAAAAAAAAAFtDb250ZW50X1R5cGVzXS54bWxQSwECLQAUAAYACAAAACEAOP0h&#10;/9YAAACUAQAACwAAAAAAAAAAAAAAAAAvAQAAX3JlbHMvLnJlbHNQSwECLQAUAAYACAAAACEAGxx7&#10;8k0CAACnBAAADgAAAAAAAAAAAAAAAAAuAgAAZHJzL2Uyb0RvYy54bWxQSwECLQAUAAYACAAAACEA&#10;36NYV9sAAAADAQAADwAAAAAAAAAAAAAAAACnBAAAZHJzL2Rvd25yZXYueG1sUEsFBgAAAAAEAAQA&#10;8wAAAK8FAAAAAA==&#10;" o:allowincell="f" adj="14135" strokecolor="gray [1629]" strokeweight=".25pt">
                  <v:textbox>
                    <w:txbxContent>
                      <w:p w:rsidR="00154F66" w:rsidRDefault="00187944">
                        <w:pPr>
                          <w:jc w:val="center"/>
                        </w:pPr>
                        <w:r>
                          <w:fldChar w:fldCharType="begin"/>
                        </w:r>
                        <w:r>
                          <w:instrText xml:space="preserve"> PAGE    \* MERGEFORMAT </w:instrText>
                        </w:r>
                        <w:r>
                          <w:fldChar w:fldCharType="separate"/>
                        </w:r>
                        <w:r w:rsidRPr="00187944">
                          <w:rPr>
                            <w:noProof/>
                            <w:sz w:val="16"/>
                            <w:szCs w:val="16"/>
                          </w:rPr>
                          <w:t>1</w:t>
                        </w:r>
                        <w:r>
                          <w:rPr>
                            <w:noProof/>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2AD" w:rsidRDefault="000272AD" w:rsidP="007326D7">
      <w:pPr>
        <w:spacing w:after="0" w:line="240" w:lineRule="auto"/>
      </w:pPr>
      <w:r>
        <w:separator/>
      </w:r>
    </w:p>
  </w:footnote>
  <w:footnote w:type="continuationSeparator" w:id="0">
    <w:p w:rsidR="000272AD" w:rsidRDefault="000272AD" w:rsidP="007326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00F5A"/>
    <w:multiLevelType w:val="hybridMultilevel"/>
    <w:tmpl w:val="C29A13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hyphenationZone w:val="425"/>
  <w:drawingGridHorizontalSpacing w:val="110"/>
  <w:displayHorizontalDrawingGridEvery w:val="2"/>
  <w:characterSpacingControl w:val="doNotCompress"/>
  <w:hdrShapeDefaults>
    <o:shapedefaults v:ext="edit" spidmax="307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6D7"/>
    <w:rsid w:val="000272AD"/>
    <w:rsid w:val="00154F66"/>
    <w:rsid w:val="00187944"/>
    <w:rsid w:val="002811C1"/>
    <w:rsid w:val="0038468E"/>
    <w:rsid w:val="00465503"/>
    <w:rsid w:val="004D631E"/>
    <w:rsid w:val="004F11DD"/>
    <w:rsid w:val="00554427"/>
    <w:rsid w:val="00631A3F"/>
    <w:rsid w:val="007326D7"/>
    <w:rsid w:val="00844215"/>
    <w:rsid w:val="0094152B"/>
    <w:rsid w:val="00C62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6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6D7"/>
    <w:pPr>
      <w:ind w:left="720"/>
      <w:contextualSpacing/>
    </w:pPr>
  </w:style>
  <w:style w:type="paragraph" w:customStyle="1" w:styleId="Default">
    <w:name w:val="Default"/>
    <w:rsid w:val="007326D7"/>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semiHidden/>
    <w:unhideWhenUsed/>
    <w:rsid w:val="007326D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326D7"/>
    <w:rPr>
      <w:rFonts w:ascii="Calibri" w:eastAsia="Calibri" w:hAnsi="Calibri" w:cs="Times New Roman"/>
    </w:rPr>
  </w:style>
  <w:style w:type="paragraph" w:styleId="Footer">
    <w:name w:val="footer"/>
    <w:basedOn w:val="Normal"/>
    <w:link w:val="FooterChar"/>
    <w:uiPriority w:val="99"/>
    <w:semiHidden/>
    <w:unhideWhenUsed/>
    <w:rsid w:val="007326D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7326D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6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6D7"/>
    <w:pPr>
      <w:ind w:left="720"/>
      <w:contextualSpacing/>
    </w:pPr>
  </w:style>
  <w:style w:type="paragraph" w:customStyle="1" w:styleId="Default">
    <w:name w:val="Default"/>
    <w:rsid w:val="007326D7"/>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semiHidden/>
    <w:unhideWhenUsed/>
    <w:rsid w:val="007326D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326D7"/>
    <w:rPr>
      <w:rFonts w:ascii="Calibri" w:eastAsia="Calibri" w:hAnsi="Calibri" w:cs="Times New Roman"/>
    </w:rPr>
  </w:style>
  <w:style w:type="paragraph" w:styleId="Footer">
    <w:name w:val="footer"/>
    <w:basedOn w:val="Normal"/>
    <w:link w:val="FooterChar"/>
    <w:uiPriority w:val="99"/>
    <w:semiHidden/>
    <w:unhideWhenUsed/>
    <w:rsid w:val="007326D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7326D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2137</Words>
  <Characters>12187</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Solongo ZULBAATAR</cp:lastModifiedBy>
  <cp:revision>2</cp:revision>
  <dcterms:created xsi:type="dcterms:W3CDTF">2014-07-16T07:25:00Z</dcterms:created>
  <dcterms:modified xsi:type="dcterms:W3CDTF">2014-07-16T07:25:00Z</dcterms:modified>
</cp:coreProperties>
</file>